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14199" w14:textId="77777777" w:rsidR="00D54997" w:rsidRDefault="00000000">
      <w:pPr>
        <w:pStyle w:val="Heading1"/>
      </w:pPr>
      <w:bookmarkStart w:id="0" w:name="not-by-statute-but-by-structure"/>
      <w:r>
        <w:t>Taxes Were the Easy Part</w:t>
      </w:r>
    </w:p>
    <w:p w14:paraId="1D7E865E" w14:textId="77777777" w:rsidR="00D54997" w:rsidRDefault="00000000">
      <w:pPr>
        <w:pStyle w:val="Heading2"/>
      </w:pPr>
      <w:bookmarkStart w:id="1" w:name="Xc9b576f345f7ffc90fce51c49249381b023a668"/>
      <w:r>
        <w:t>Why Capital and Talent Still Flow to Software, Not Manufacturing, After OBBBA</w:t>
      </w:r>
    </w:p>
    <w:p w14:paraId="19F57A53" w14:textId="77777777" w:rsidR="00D54997" w:rsidRDefault="00000000">
      <w:pPr>
        <w:pStyle w:val="FirstParagraph"/>
      </w:pPr>
      <w:r>
        <w:rPr>
          <w:b/>
          <w:bCs/>
        </w:rPr>
        <w:t>Research Note</w:t>
      </w:r>
      <w:r>
        <w:t xml:space="preserve"> </w:t>
      </w:r>
      <w:r>
        <w:rPr>
          <w:b/>
          <w:bCs/>
        </w:rPr>
        <w:t>June 2026</w:t>
      </w:r>
    </w:p>
    <w:p w14:paraId="79628223" w14:textId="77777777" w:rsidR="00D54997" w:rsidRDefault="00000000">
      <w:pPr>
        <w:pStyle w:val="Heading3"/>
      </w:pPr>
      <w:bookmarkStart w:id="2" w:name="abstract"/>
      <w:r>
        <w:t>Abstract</w:t>
      </w:r>
    </w:p>
    <w:p w14:paraId="1038813A" w14:textId="77777777" w:rsidR="00670460" w:rsidRDefault="00000000">
      <w:pPr>
        <w:pStyle w:val="FirstParagraph"/>
      </w:pPr>
      <w:r>
        <w:rPr>
          <w:b/>
          <w:bCs/>
        </w:rPr>
        <w:t>Start by giving the One Big Beautiful Bill Act its due. OBBBA made 100 percent bonus depreciation permanent, gave manufacturing buildings immediate deduction for the first time in the history of the U.S. tax code, restored permanent R&amp;D expensing under §174A, and expanded §179 to $2.5 million. It was the most ambitious federal capital-allowance reform in modern American history, and it closed the largest single statutory gap between how the tax code treats software and how it treats manufacturing. If America's manufacturing problem were a tax-timing problem, it would now be solved.</w:t>
      </w:r>
      <w:r>
        <w:t xml:space="preserve"> </w:t>
      </w:r>
    </w:p>
    <w:p w14:paraId="53277D90" w14:textId="5A14C8BC" w:rsidR="00D54997" w:rsidRDefault="00000000">
      <w:pPr>
        <w:pStyle w:val="FirstParagraph"/>
      </w:pPr>
      <w:r>
        <w:t>The problem remains unsolved, because the largest gap between software and manufacturing was never in the tax schedule. The largest gap is profitability. Software earns a 29.3 percent return on invested capital against a 9.3 percent cost of capital, a positive economic spread of 20 points; capital-intensive manufacturing earns 5.0 percent against a 7.2 percent cost of capital, destroying value on every dollar invested. OBBBA improves manufacturing's after-tax economics by roughly 100 to 150 basis points; the profitability gap it leaves open runs roughly 1,200 to 2,200 basis points. Depreciation timing was the largest statutory gap, and OBBBA closed it. Profitability is the larger structural gap, and no depreciation schedule can close it. The legislative program proposed in this paper attacks it directly: its central credit is calibrated to convert capital-intensive manufacturing from a negative 2.2-point economic spread to a positive 10.8-point spread, closing the value-destruction gap entirely and most of the remaining distance to software.</w:t>
      </w:r>
    </w:p>
    <w:p w14:paraId="2D08D91A" w14:textId="77777777" w:rsidR="00D54997" w:rsidRDefault="00000000">
      <w:pPr>
        <w:pStyle w:val="BodyText"/>
      </w:pPr>
      <w:r>
        <w:t>Growth capital flows toward software because software offers the returns growth capital requires. Extractive capital flows toward manufacturing because manufacturing offers the stable cash flows, undervalued asset bases, and physical collateral that extractive capital requires. STEM talent follows growth capital. Software receives risk capital and talent in compounding cycles; manufacturing receives capital extraction and talent migration in compounding cycles.</w:t>
      </w:r>
    </w:p>
    <w:p w14:paraId="477D817A" w14:textId="77777777" w:rsidR="00D54997" w:rsidRDefault="00000000">
      <w:pPr>
        <w:pStyle w:val="BodyText"/>
      </w:pPr>
      <w:r>
        <w:t>OBBBA addressed one of six structural channels through which U.S. tax, capital, labor, and regulatory policy favors capital-light, intangible-asset, fast-cycle businesses over capital-heavy, physical-asset, long-cycle ones. The other five remain operative, and the capital and talent flow asymmetry has continued through OBBBA’s implementation unchanged in any visible respect. The disadvantage operates not by statute but by structure, and federal tax reform alone cannot remedy it. What hangs on closing the rest of the gap is larger than sector fairness: the uncompetitive U.S. manufacturing base is the binding constraint on American economic statecraft at the moment economic statecraft has become the central instrument of strategic competition with China.</w:t>
      </w:r>
    </w:p>
    <w:p w14:paraId="34DD06A7" w14:textId="77777777" w:rsidR="00D54997" w:rsidRDefault="00000000">
      <w:pPr>
        <w:pStyle w:val="BodyText"/>
      </w:pPr>
      <w:r>
        <w:t>This note documents the six channels, identifies what OBBBA changed in each, quantifies the residual asymmetry, and proposes the structural interventions required to close it.</w:t>
      </w:r>
    </w:p>
    <w:p w14:paraId="1E550CA3" w14:textId="77777777" w:rsidR="00D54997" w:rsidRDefault="00000000">
      <w:pPr>
        <w:pStyle w:val="Heading3"/>
      </w:pPr>
      <w:bookmarkStart w:id="3" w:name="X0e674e8700c1f8d74d5a0c9d7b60286d4cda371"/>
      <w:bookmarkEnd w:id="2"/>
      <w:r>
        <w:t>Introduction: The Reality, the Response, and the Gap</w:t>
      </w:r>
    </w:p>
    <w:p w14:paraId="3FD28622" w14:textId="77777777" w:rsidR="00D54997" w:rsidRDefault="00000000">
      <w:pPr>
        <w:pStyle w:val="FirstParagraph"/>
      </w:pPr>
      <w:r>
        <w:t xml:space="preserve">The United States enters 2026 with a manufacturing base that is structurally uncompetitive against China by margins ranging from 30 percent in the most advanced automated U.S. operations to 8-to-10x in the broader commercial industrial base. Raw materials cost 10-to-20x more in the U.S. than in China, driven by Chinese energy subsidies and weaker environmental regulation. Chinese national-champion exporters receive 30-to-40 percent export rebates that flow directly into prices paid by American buyers. In high-precision manufacturing, Korean and Japanese factories are 2-to-3x more efficient than the general </w:t>
        <w:lastRenderedPageBreak/>
        <w:t>U.S. industrial base. These ratios are documented in the cost analysis of Hadrian, the most advanced U.S. precision manufacturing operation backed by venture capital, presented, together with its scope note, in the sidebar that immediately follows.</w:t>
      </w:r>
    </w:p>
    <w:p w14:paraId="0A7093AE" w14:textId="77777777" w:rsidR="00D54997" w:rsidRDefault="00000000">
      <w:pPr>
        <w:pStyle w:val="Heading4"/>
      </w:pPr>
      <w:bookmarkStart w:id="4" w:name="sidebar-the-hadrian-case-study"/>
      <w:r>
        <w:t>Sidebar: The Hadrian Case Study</w:t>
      </w:r>
    </w:p>
    <w:p w14:paraId="1BDE3F13" w14:textId="77777777" w:rsidR="00D54997" w:rsidRDefault="00000000">
      <w:pPr>
        <w:pStyle w:val="FirstParagraph"/>
      </w:pPr>
      <w:r>
        <w:t xml:space="preserve">Hadrian, founded by Chris Power and backed by Andreessen Horowitz, Founders Fund, Lux Capital, and Construct Capital among others, operates AI-driven automated precision machining factories serving aerospace, defense, and naval customers. The company is currently valued at $1.6 billion, generated approximately $35 million in annual recurring revenue in 2024, operates a production cell embedded inside a Lockheed Martin missiles facility, holds a strategic manufacturing partnership with Anduril, and is building a $2.4 billion Factory 4 campus in Alabama. Hadrian's CEO has </w:t>
      </w:r>
      <w:hyperlink r:id="rId7">
        <w:r>
          <w:rPr>
            <w:rStyle w:val="Hyperlink"/>
          </w:rPr>
          <w:t>described the U.S. cost competitiveness reality</w:t>
        </w:r>
      </w:hyperlink>
      <w:r>
        <w:t xml:space="preserve"> in unusually direct terms, providing the empirical case that grounds this paper's structural argument.</w:t>
      </w:r>
    </w:p>
    <w:p w14:paraId="38266C9B" w14:textId="77777777" w:rsidR="00D54997" w:rsidRDefault="00000000">
      <w:pPr>
        <w:pStyle w:val="BodyText"/>
      </w:pPr>
      <w:r>
        <w:rPr>
          <w:b/>
          <w:bCs/>
        </w:rPr>
        <w:t>Today's cost competitiveness:</w:t>
      </w:r>
    </w:p>
    <w:tbl>
      <w:tblPr>
        <w:tblStyle w:val="Table"/>
        <w:tblW w:w="5000" w:type="pct"/>
        <w:tblLook w:val="0020" w:firstRow="1" w:lastRow="0" w:firstColumn="0" w:lastColumn="0" w:noHBand="0" w:noVBand="0"/>
      </w:tblPr>
      <w:tblGrid>
        <w:gridCol w:w="3051"/>
        <w:gridCol w:w="2098"/>
        <w:gridCol w:w="4211"/>
      </w:tblGrid>
      <w:tr w:rsidR="00D54997" w14:paraId="2DE6233D" w14:textId="77777777" w:rsidTr="00D54997">
        <w:trPr>
          <w:cnfStyle w:val="100000000000" w:firstRow="1" w:lastRow="0" w:firstColumn="0" w:lastColumn="0" w:oddVBand="0" w:evenVBand="0" w:oddHBand="0" w:evenHBand="0" w:firstRowFirstColumn="0" w:firstRowLastColumn="0" w:lastRowFirstColumn="0" w:lastRowLastColumn="0"/>
          <w:tblHeader/>
        </w:trPr>
        <w:tc>
          <w:tcPr>
            <w:tcW w:w="0" w:type="auto"/>
          </w:tcPr>
          <w:p w14:paraId="352152B2" w14:textId="77777777" w:rsidR="00D54997" w:rsidRDefault="00000000">
            <w:pPr>
              <w:pStyle w:val="Compact"/>
            </w:pPr>
            <w:r>
              <w:t>Comparison</w:t>
            </w:r>
          </w:p>
        </w:tc>
        <w:tc>
          <w:tcPr>
            <w:tcW w:w="0" w:type="auto"/>
          </w:tcPr>
          <w:p w14:paraId="5A6E4F14" w14:textId="77777777" w:rsidR="00D54997" w:rsidRDefault="00000000">
            <w:pPr>
              <w:pStyle w:val="Compact"/>
            </w:pPr>
            <w:r>
              <w:t>Cost Ratio</w:t>
            </w:r>
          </w:p>
        </w:tc>
        <w:tc>
          <w:tcPr>
            <w:tcW w:w="0" w:type="auto"/>
          </w:tcPr>
          <w:p w14:paraId="54DC98FE" w14:textId="77777777" w:rsidR="00D54997" w:rsidRDefault="00000000">
            <w:pPr>
              <w:pStyle w:val="Compact"/>
            </w:pPr>
            <w:r>
              <w:t>Detail</w:t>
            </w:r>
          </w:p>
        </w:tc>
      </w:tr>
      <w:tr w:rsidR="00D54997" w14:paraId="1E7C71E9" w14:textId="77777777">
        <w:tc>
          <w:tcPr>
            <w:tcW w:w="0" w:type="auto"/>
          </w:tcPr>
          <w:p w14:paraId="70E2A244" w14:textId="77777777" w:rsidR="00D54997" w:rsidRDefault="00000000">
            <w:pPr>
              <w:pStyle w:val="Compact"/>
            </w:pPr>
            <w:r>
              <w:t>China vs. general U.S. industrial base (unregulated commercial prototyping)</w:t>
            </w:r>
          </w:p>
        </w:tc>
        <w:tc>
          <w:tcPr>
            <w:tcW w:w="0" w:type="auto"/>
          </w:tcPr>
          <w:p w14:paraId="4177F301" w14:textId="77777777" w:rsidR="00D54997" w:rsidRDefault="00000000">
            <w:pPr>
              <w:pStyle w:val="Compact"/>
            </w:pPr>
            <w:r>
              <w:t xml:space="preserve">China </w:t>
            </w:r>
            <w:r>
              <w:rPr>
                <w:b/>
                <w:bCs/>
              </w:rPr>
              <w:t>8 to 10x cheaper</w:t>
            </w:r>
          </w:p>
        </w:tc>
        <w:tc>
          <w:tcPr>
            <w:tcW w:w="0" w:type="auto"/>
          </w:tcPr>
          <w:p w14:paraId="31B24136" w14:textId="77777777" w:rsidR="00D54997" w:rsidRDefault="00000000">
            <w:pPr>
              <w:pStyle w:val="Compact"/>
            </w:pPr>
            <w:r>
              <w:t>The broadest measure of the cost gap</w:t>
            </w:r>
          </w:p>
        </w:tc>
      </w:tr>
      <w:tr w:rsidR="00D54997" w14:paraId="451527A1" w14:textId="77777777">
        <w:tc>
          <w:tcPr>
            <w:tcW w:w="0" w:type="auto"/>
          </w:tcPr>
          <w:p w14:paraId="272AC173" w14:textId="77777777" w:rsidR="00D54997" w:rsidRDefault="00000000">
            <w:pPr>
              <w:pStyle w:val="Compact"/>
            </w:pPr>
            <w:r>
              <w:t>China vs. U.S. aerospace parts</w:t>
            </w:r>
          </w:p>
        </w:tc>
        <w:tc>
          <w:tcPr>
            <w:tcW w:w="0" w:type="auto"/>
          </w:tcPr>
          <w:p w14:paraId="2E4C2F65" w14:textId="77777777" w:rsidR="00D54997" w:rsidRDefault="00000000">
            <w:pPr>
              <w:pStyle w:val="Compact"/>
            </w:pPr>
            <w:r>
              <w:t xml:space="preserve">U.S. </w:t>
            </w:r>
            <w:r>
              <w:rPr>
                <w:b/>
                <w:bCs/>
              </w:rPr>
              <w:t>2 to 3x more expensive</w:t>
            </w:r>
          </w:p>
        </w:tc>
        <w:tc>
          <w:tcPr>
            <w:tcW w:w="0" w:type="auto"/>
          </w:tcPr>
          <w:p w14:paraId="3BC30EA2" w14:textId="77777777" w:rsidR="00D54997" w:rsidRDefault="00000000">
            <w:pPr>
              <w:pStyle w:val="Compact"/>
            </w:pPr>
            <w:r>
              <w:t>Gap compressed by FAA and AS9100 regulatory costs raising Chinese prices as well</w:t>
            </w:r>
          </w:p>
        </w:tc>
      </w:tr>
      <w:tr w:rsidR="00D54997" w14:paraId="21FE1309" w14:textId="77777777">
        <w:tc>
          <w:tcPr>
            <w:tcW w:w="0" w:type="auto"/>
          </w:tcPr>
          <w:p w14:paraId="579E2FF7" w14:textId="77777777" w:rsidR="00D54997" w:rsidRDefault="00000000">
            <w:pPr>
              <w:pStyle w:val="Compact"/>
            </w:pPr>
            <w:r>
              <w:t>China raw materials advantage</w:t>
            </w:r>
          </w:p>
        </w:tc>
        <w:tc>
          <w:tcPr>
            <w:tcW w:w="0" w:type="auto"/>
          </w:tcPr>
          <w:p w14:paraId="6AA306D2" w14:textId="77777777" w:rsidR="00D54997" w:rsidRDefault="00000000">
            <w:pPr>
              <w:pStyle w:val="Compact"/>
            </w:pPr>
            <w:r>
              <w:rPr>
                <w:b/>
                <w:bCs/>
              </w:rPr>
              <w:t>10 to 20x cheaper</w:t>
            </w:r>
          </w:p>
        </w:tc>
        <w:tc>
          <w:tcPr>
            <w:tcW w:w="0" w:type="auto"/>
          </w:tcPr>
          <w:p w14:paraId="0B499C4E" w14:textId="77777777" w:rsidR="00D54997" w:rsidRDefault="00000000">
            <w:pPr>
              <w:pStyle w:val="Compact"/>
            </w:pPr>
            <w:r>
              <w:t>Power attributes 90 percent of aluminum cost to energy (standard industry estimates put electricity at 30 to 40 percent of primary smelting cost); China subsidizes industrial electricity</w:t>
            </w:r>
          </w:p>
        </w:tc>
      </w:tr>
      <w:tr w:rsidR="00D54997" w14:paraId="18201474" w14:textId="77777777">
        <w:tc>
          <w:tcPr>
            <w:tcW w:w="0" w:type="auto"/>
          </w:tcPr>
          <w:p w14:paraId="2B2D0AAD" w14:textId="77777777" w:rsidR="00D54997" w:rsidRDefault="00000000">
            <w:pPr>
              <w:pStyle w:val="Compact"/>
            </w:pPr>
            <w:r>
              <w:t>Chinese export subsidies</w:t>
            </w:r>
          </w:p>
        </w:tc>
        <w:tc>
          <w:tcPr>
            <w:tcW w:w="0" w:type="auto"/>
          </w:tcPr>
          <w:p w14:paraId="79FF507B" w14:textId="77777777" w:rsidR="00D54997" w:rsidRDefault="00000000">
            <w:pPr>
              <w:pStyle w:val="Compact"/>
            </w:pPr>
            <w:r>
              <w:rPr>
                <w:b/>
                <w:bCs/>
              </w:rPr>
              <w:t>30 to 40 percent rebates</w:t>
            </w:r>
          </w:p>
        </w:tc>
        <w:tc>
          <w:tcPr>
            <w:tcW w:w="0" w:type="auto"/>
          </w:tcPr>
          <w:p w14:paraId="52BF8361" w14:textId="77777777" w:rsidR="00D54997" w:rsidRDefault="00000000">
            <w:pPr>
              <w:pStyle w:val="Compact"/>
            </w:pPr>
            <w:r>
              <w:t>Chinese national champions receive direct export rebates when selling to American buyers</w:t>
            </w:r>
          </w:p>
        </w:tc>
      </w:tr>
      <w:tr w:rsidR="00D54997" w14:paraId="79B5A6E9" w14:textId="77777777">
        <w:tc>
          <w:tcPr>
            <w:tcW w:w="0" w:type="auto"/>
          </w:tcPr>
          <w:p w14:paraId="21BD756B" w14:textId="77777777" w:rsidR="00D54997" w:rsidRDefault="00000000">
            <w:pPr>
              <w:pStyle w:val="Compact"/>
            </w:pPr>
            <w:r>
              <w:t>Hadrian vs. China</w:t>
            </w:r>
          </w:p>
        </w:tc>
        <w:tc>
          <w:tcPr>
            <w:tcW w:w="0" w:type="auto"/>
          </w:tcPr>
          <w:p w14:paraId="7C4E4416" w14:textId="77777777" w:rsidR="00D54997" w:rsidRDefault="00000000">
            <w:pPr>
              <w:pStyle w:val="Compact"/>
            </w:pPr>
            <w:r>
              <w:t xml:space="preserve">Hadrian </w:t>
            </w:r>
            <w:r>
              <w:rPr>
                <w:b/>
                <w:bCs/>
              </w:rPr>
              <w:t>only 30 percent more expensive</w:t>
            </w:r>
          </w:p>
        </w:tc>
        <w:tc>
          <w:tcPr>
            <w:tcW w:w="0" w:type="auto"/>
          </w:tcPr>
          <w:p w14:paraId="6197055D" w14:textId="77777777" w:rsidR="00D54997" w:rsidRDefault="00000000">
            <w:pPr>
              <w:pStyle w:val="Compact"/>
            </w:pPr>
            <w:r>
              <w:t>Automated software-defined factory model dramatically narrows the gap</w:t>
            </w:r>
          </w:p>
        </w:tc>
      </w:tr>
      <w:tr w:rsidR="00D54997" w14:paraId="71D7E3D6" w14:textId="77777777">
        <w:tc>
          <w:tcPr>
            <w:tcW w:w="0" w:type="auto"/>
          </w:tcPr>
          <w:p w14:paraId="48D12896" w14:textId="77777777" w:rsidR="00D54997" w:rsidRDefault="00000000">
            <w:pPr>
              <w:pStyle w:val="Compact"/>
            </w:pPr>
            <w:r>
              <w:t>Rest of U.S. industry vs. China</w:t>
            </w:r>
          </w:p>
        </w:tc>
        <w:tc>
          <w:tcPr>
            <w:tcW w:w="0" w:type="auto"/>
          </w:tcPr>
          <w:p w14:paraId="1B0EEA92" w14:textId="77777777" w:rsidR="00D54997" w:rsidRDefault="00000000">
            <w:pPr>
              <w:pStyle w:val="Compact"/>
            </w:pPr>
            <w:r>
              <w:rPr>
                <w:b/>
                <w:bCs/>
              </w:rPr>
              <w:t>2 to 3x more expensive</w:t>
            </w:r>
          </w:p>
        </w:tc>
        <w:tc>
          <w:tcPr>
            <w:tcW w:w="0" w:type="auto"/>
          </w:tcPr>
          <w:p w14:paraId="2649A1FB" w14:textId="77777777" w:rsidR="00D54997" w:rsidRDefault="00000000">
            <w:pPr>
              <w:pStyle w:val="Compact"/>
            </w:pPr>
            <w:r>
              <w:t>The Hadrian comparison shows the gap between automated frontier U.S. manufacturing and the U.S. industrial average</w:t>
            </w:r>
          </w:p>
        </w:tc>
      </w:tr>
      <w:tr w:rsidR="00D54997" w14:paraId="70DB50E5" w14:textId="77777777">
        <w:tc>
          <w:tcPr>
            <w:tcW w:w="0" w:type="auto"/>
          </w:tcPr>
          <w:p w14:paraId="024C77CA" w14:textId="77777777" w:rsidR="00D54997" w:rsidRDefault="00000000">
            <w:pPr>
              <w:pStyle w:val="Compact"/>
            </w:pPr>
            <w:r>
              <w:t>Korea and Japan vs. U.S. (high-precision)</w:t>
            </w:r>
          </w:p>
        </w:tc>
        <w:tc>
          <w:tcPr>
            <w:tcW w:w="0" w:type="auto"/>
          </w:tcPr>
          <w:p w14:paraId="4A9C3B34" w14:textId="77777777" w:rsidR="00D54997" w:rsidRDefault="00000000">
            <w:pPr>
              <w:pStyle w:val="Compact"/>
            </w:pPr>
            <w:r>
              <w:t xml:space="preserve">Korea and Japan </w:t>
            </w:r>
            <w:r>
              <w:rPr>
                <w:b/>
                <w:bCs/>
              </w:rPr>
              <w:t>2 to 3x more efficient</w:t>
            </w:r>
          </w:p>
        </w:tc>
        <w:tc>
          <w:tcPr>
            <w:tcW w:w="0" w:type="auto"/>
          </w:tcPr>
          <w:p w14:paraId="669803EC" w14:textId="77777777" w:rsidR="00D54997" w:rsidRDefault="00000000">
            <w:pPr>
              <w:pStyle w:val="Compact"/>
            </w:pPr>
            <w:r>
              <w:t>Superior manufacturing technology and culture</w:t>
            </w:r>
          </w:p>
        </w:tc>
      </w:tr>
    </w:tbl>
    <w:p w14:paraId="28BB4B11" w14:textId="77777777" w:rsidR="00D54997" w:rsidRDefault="00000000">
      <w:pPr>
        <w:pStyle w:val="BodyText"/>
      </w:pPr>
      <w:r>
        <w:rPr>
          <w:b/>
          <w:bCs/>
        </w:rPr>
        <w:t>Tomorrow's competitiveness targets (Hadrian's stated goals):</w:t>
      </w:r>
    </w:p>
    <w:p w14:paraId="343B97FA" w14:textId="77777777" w:rsidR="00D54997" w:rsidRDefault="00000000">
      <w:pPr>
        <w:numPr>
          <w:ilvl w:val="0"/>
          <w:numId w:val="2"/>
        </w:numPr>
      </w:pPr>
      <w:r>
        <w:rPr>
          <w:b/>
          <w:bCs/>
        </w:rPr>
        <w:t>Price parity or below Chinese pricing</w:t>
      </w:r>
      <w:r>
        <w:t xml:space="preserve"> through continued automation and software-defined manufacturing</w:t>
      </w:r>
    </w:p>
    <w:p w14:paraId="6D4232A0" w14:textId="77777777" w:rsidR="00D54997" w:rsidRDefault="00000000">
      <w:pPr>
        <w:numPr>
          <w:ilvl w:val="0"/>
          <w:numId w:val="2"/>
        </w:numPr>
      </w:pPr>
      <w:r>
        <w:rPr>
          <w:b/>
          <w:bCs/>
        </w:rPr>
        <w:lastRenderedPageBreak/>
        <w:t>Worker training in 30 to 40 days</w:t>
      </w:r>
      <w:r>
        <w:t xml:space="preserve"> (against the multi-year traditional machinist apprenticeship) enabled by automation</w:t>
      </w:r>
    </w:p>
    <w:p w14:paraId="1F9D180B" w14:textId="77777777" w:rsidR="00D54997" w:rsidRDefault="00000000">
      <w:pPr>
        <w:numPr>
          <w:ilvl w:val="0"/>
          <w:numId w:val="2"/>
        </w:numPr>
      </w:pPr>
      <w:r>
        <w:rPr>
          <w:b/>
          <w:bCs/>
        </w:rPr>
        <w:t>The lowest cost of capital in the United States at scale</w:t>
      </w:r>
      <w:r>
        <w:t>, identified by the CEO as the structural input required to complete the cost gap closure</w:t>
      </w:r>
    </w:p>
    <w:p w14:paraId="68B01178" w14:textId="77777777" w:rsidR="00D54997" w:rsidRDefault="00000000">
      <w:pPr>
        <w:pStyle w:val="FirstParagraph"/>
      </w:pPr>
      <w:r>
        <w:rPr>
          <w:b/>
          <w:bCs/>
        </w:rPr>
        <w:t>The analytical implication.</w:t>
      </w:r>
      <w:r>
        <w:t xml:space="preserve"> The progression from 8-to-10x to 2-to-3x to 30 percent demonstrates that U.S. manufacturing is uncompetitive primarily because of structural conditions rather than inherent inferiority of U.S. labor or capability. When automation, software-defined manufacturing, and the </w:t>
      </w:r>
      <w:hyperlink r:id="rId8">
        <w:r>
          <w:rPr>
            <w:rStyle w:val="Hyperlink"/>
          </w:rPr>
          <w:t>"factory mindset" framework articulated by a16z's Erin Price-Wright</w:t>
        </w:r>
      </w:hyperlink>
      <w:r>
        <w:t xml:space="preserve"> are applied, the cost gap closes by an order of magnitude. The remaining 30 percent premium is what the legislative package proposed in Section X is designed to close, alongside complementary policy on energy and surgical tariffs against direct subsidies. The </w:t>
      </w:r>
      <w:hyperlink r:id="rId9">
        <w:r>
          <w:rPr>
            <w:rStyle w:val="Hyperlink"/>
          </w:rPr>
          <w:t>American Dynamism investing pivot</w:t>
        </w:r>
      </w:hyperlink>
      <w:r>
        <w:t xml:space="preserve"> represents real capital deployment (roughly $20 to $50 billion committed across the major venture firms) and real technology development (Hadrian's automated machining, Anduril's autonomous systems, Castelion's rocket motors, Mariana Minerals' software-first lithium extraction); Hadrian's cost progression demonstrates what these approaches can achieve at the firm level.</w:t>
      </w:r>
    </w:p>
    <w:p w14:paraId="459B20A1" w14:textId="77777777" w:rsidR="00D54997" w:rsidRDefault="00000000">
      <w:pPr>
        <w:pStyle w:val="BodyText"/>
      </w:pPr>
      <w:r>
        <w:rPr>
          <w:b/>
          <w:bCs/>
        </w:rPr>
        <w:t>However, extending the pivot commercially beyond DOD-funded production into the roughly 240,000 U.S. manufacturers operating in commercial markets where Pentagon premium pricing is not available remains aspirational. The legislative package proposed in Section X is what makes that extension structurally possible.</w:t>
      </w:r>
    </w:p>
    <w:p w14:paraId="2B000005" w14:textId="2B000005">
      <w:r>
        <w:rPr>
          <w:b/>
        </w:rPr>
        <w:t xml:space="preserve">A scope note. </w:t>
      </w:r>
      <w:r>
        <w:t xml:space="preserve">The cost ladder above reflects one firm’s disclosures, made by a chief executive with a commercial interest in the framing. The sidebar is illustration, not foundation: the structural argument in Sections III through VIII stands on the Damodaran dataset, federal statute, and public capital-markets data, and survives if every Hadrian-specific number is discounted.</w:t>
      </w:r>
    </w:p>
    <w:p w14:paraId="6B3F99E0" w14:textId="77777777" w:rsidR="00D54997" w:rsidRDefault="00000000">
      <w:pPr>
        <w:pStyle w:val="BodyText"/>
      </w:pPr>
      <w:r>
        <w:t xml:space="preserve">The reality is starker than the policy debate generally acknowledges. The United States has reached a point where its industrial supply chain cannot deliver components, materials, or sub-assemblies at </w:t>
      </w:r>
      <w:hyperlink r:id="rId10">
        <w:r>
          <w:rPr>
            <w:rStyle w:val="Hyperlink"/>
          </w:rPr>
          <w:t>globally competitive cost in most categories that matter for economic statecraft.</w:t>
        </w:r>
      </w:hyperlink>
      <w:r>
        <w:t xml:space="preserve"> The reasons are structural: six identifiable channels through which the architecture of U.S. tax, capital, labor, and regulatory policy systematically favors capital-light, intangible-asset, fast-cycle businesses (software) over capital-heavy, physical-asset, long-cycle businesses (manufacturing). These channels are documented in Sections III through VIII of this paper. Their compounding effect across the four decades since the 1986 Tax Reform Act, documented in Section II, is what has produced the current outcome.</w:t>
      </w:r>
    </w:p>
    <w:p w14:paraId="01FF1AF8" w14:textId="77777777" w:rsidR="00D54997" w:rsidRDefault="00000000">
      <w:pPr>
        <w:pStyle w:val="BodyText"/>
      </w:pPr>
      <w:r>
        <w:t>The One Big Beautiful Bill Act of 2025 attempted to close one structural channel, federal depreciation timing, and succeeded at it. OBBBA was the most ambitious federal capital-allowance reform in modern U.S. history. It addressed the most policy-volatile of the six structural channels documented in this paper. It did not address the other five, and the capital and talent flow asymmetry between software and manufacturing has continued through OBBBA's implementation unchanged in any visible respect.</w:t>
      </w:r>
    </w:p>
    <w:p w14:paraId="32BA417C" w14:textId="77777777" w:rsidR="00D54997" w:rsidRDefault="00000000">
      <w:pPr>
        <w:pStyle w:val="Heading3"/>
      </w:pPr>
      <w:bookmarkStart w:id="5" w:name="i.-the-claim-and-its-stakes"/>
      <w:bookmarkEnd w:id="3"/>
      <w:bookmarkEnd w:id="4"/>
      <w:r>
        <w:t>I. The Claim and Its Stakes</w:t>
      </w:r>
    </w:p>
    <w:p w14:paraId="2E6EFE07" w14:textId="77777777" w:rsidR="00D54997" w:rsidRDefault="00000000">
      <w:pPr>
        <w:pStyle w:val="FirstParagraph"/>
      </w:pPr>
      <w:r>
        <w:t xml:space="preserve">The proposition under examination is that the United States subsidizes software (and services; software serves as the canonical example throughout) and taxes manufacturing not through any specific statute that names sectors but through the cumulative effect of facially neutral provisions interacting with the underlying physical and financial characteristics of </w:t>
        <w:lastRenderedPageBreak/>
        <w:t>the business types. The federal corporate tax rate is 21 percent for all. The capital gains rates are identical. The §41 research credit, the §1202 qualified small business stock exclusion, and the §6418 credit-transferability framework apply equally. No statute prefers one sector or penalizes another.</w:t>
      </w:r>
    </w:p>
    <w:p w14:paraId="73142410" w14:textId="77777777" w:rsidR="00D54997" w:rsidRDefault="00000000">
      <w:pPr>
        <w:pStyle w:val="BodyText"/>
      </w:pPr>
      <w:r>
        <w:t xml:space="preserve">The differential the claim identifies operates entirely through the interaction of neutral provisions with asset structure, capital structure, and operational requirements. A capital-light business with intangible IP encounters the U.S. policy regime as a system of incentives. A capital-heavy business with physical assets encounters the same regime as a system of frictions. The cumulative effect across thirty years has been a manufacturing capital base that runs an </w:t>
      </w:r>
      <w:hyperlink r:id="rId11">
        <w:r>
          <w:rPr>
            <w:rStyle w:val="Hyperlink"/>
          </w:rPr>
          <w:t>EVA spread (return on invested capital minus cost of capital) approximately 12 percentage points lower than software in general and 22 percentage points lower than software for capital-intensive manufacturers specifically</w:t>
        </w:r>
      </w:hyperlink>
      <w:r>
        <w:t>. The result is a country in which the financial system efficiently allocates capital toward software because software is the higher-return use, and inefficiently allocates capital toward manufacturing because manufacturing returns are structurally suppressed by the regime.</w:t>
      </w:r>
    </w:p>
    <w:p w14:paraId="2B000002" w14:textId="2B000002">
      <w:r>
        <w:rPr>
          <w:b/>
        </w:rPr>
        <w:t xml:space="preserve">The asymmetry is self-reinforcing: a chicken-and-egg dynamic. </w:t>
      </w:r>
      <w:r>
        <w:t xml:space="preserve">Banks and investors observe correctly that manufacturer demand for growth capital has thinned, and cite that observation as the reason their allocation activity in the sector has fallen. Manufacturers observe correctly that capital on suitable terms has thinned, and cite that observation as the reason their investment activity has fallen. Both observations are empirically correct: U.S. manufacturing employment fell from approximately 17.3 million in 2000 to approximately 12.8 million today, manufacturing’s share of GDP fell from approximately 13 percent to approximately 10 percent, and capital expenditure as a share of revenue trended down across multiple business cycles while the supply of credit and equity to the sector contracted in parallel. Each side cites the other’s withdrawal as cause and its own as effect, producing a stable low-volume equilibrium in which the sector continues to thin and neither party has a unilateral incentive to move first. Breaking a chicken-and-egg equilibrium requires an outside actor to move one side first; that observation runs through the entire intervention design in Section X.</w:t>
      </w:r>
    </w:p>
    <w:p w14:paraId="2C000003" w14:textId="2C000003">
      <w:r>
        <w:rPr>
          <w:b/>
        </w:rPr>
        <w:t xml:space="preserve">The ratchet inside the loop was outsourcing. </w:t>
      </w:r>
      <w:r>
        <w:t xml:space="preserve">The equilibrium did not form through passive mutual withdrawal alone. It had an active mechanism that made each round of withdrawal look like sophistication: firms facing the returns gap did not exit manufacturing so much as exit capital intensity, keeping design, brand, and distribution while contracting production to supplier networks built on Chinese manufacturing investment. Each conversion was individually rational and applauded by capital markets as asset-light discipline. The aggregate evidence that it improved relative returns is thin: the factoryless model shifted balance-sheet weight offshore without closing the economic-spread gap to software. What the conversions did accomplish, cumulatively, was the dismantling of the domestic base upstream of every converting firm. When an anchor producer offshores final assembly, its tier-one suppliers lose the volume that justified their equipment; the tooling and process shops lose the tier ones; the trade and process knowledge disperses with the workforce; and the next firm deciding where to produce confronts a thinner domestic supplier base that makes its own outsourcing decision easier. Outsourcing thereby converted each cycle of capital withdrawal into permanent erosion of supply-side capability, which is why the problem confronting policy today extends past any single financing gap to a base degraded at every upstream level over three decades.</w:t>
      </w:r>
    </w:p>
    <w:p w14:paraId="66B86BA0" w14:textId="77777777" w:rsidR="00D54997" w:rsidRDefault="00000000">
      <w:pPr>
        <w:pStyle w:val="BodyText"/>
      </w:pPr>
      <w:r>
        <w:t>OBBBA was the most ambitious attempt to date to use federal tax policy to close this differential. The fact that OBBBA leaves the structural disadvantage substantially intact is itself the strongest evidence that the disadvantage is not primarily a statutory artifact.</w:t>
      </w:r>
    </w:p>
    <w:p w14:paraId="4C05D608" w14:textId="77777777" w:rsidR="00D54997" w:rsidRDefault="00000000">
      <w:pPr>
        <w:pStyle w:val="Heading3"/>
      </w:pPr>
      <w:bookmarkStart w:id="6" w:name="Xa0d17326002280cd31c76901791a3a641d2a0f8"/>
      <w:bookmarkEnd w:id="5"/>
      <w:r>
        <w:t>II. The Thirty-Year Compounding: How the Asymmetry Built Up Before OBBBA</w:t>
      </w:r>
    </w:p>
    <w:p w14:paraId="16F0C2E1" w14:textId="77777777" w:rsidR="00D54997" w:rsidRDefault="00000000">
      <w:pPr>
        <w:pStyle w:val="FirstParagraph"/>
      </w:pPr>
      <w:r>
        <w:t>The capital and talent flow asymmetry between software and manufacturing did not appear in 2025. It emerged from three decades of compounding structural conditions, of which the depreciation regime OBBBA changed was the most policy-volatile channel and the only one that periodic congressional action could affect.</w:t>
      </w:r>
    </w:p>
    <w:p w14:paraId="2D7100A4" w14:textId="77777777" w:rsidR="00D54997" w:rsidRDefault="00000000">
      <w:pPr>
        <w:pStyle w:val="BodyText"/>
      </w:pPr>
      <w:r>
        <w:rPr>
          <w:b/>
          <w:bCs/>
        </w:rPr>
        <w:t>The 1986 baseline.</w:t>
      </w:r>
      <w:r>
        <w:t xml:space="preserve"> The 1986 Tax Reform Act established the depreciation architecture that operated until OBBBA. Industrial buildings became </w:t>
      </w:r>
      <w:hyperlink r:id="rId12">
        <w:r>
          <w:rPr>
            <w:rStyle w:val="Hyperlink"/>
          </w:rPr>
          <w:t>31.5-year MACRS property (extended to 39 years in 1993)</w:t>
        </w:r>
      </w:hyperlink>
      <w:r>
        <w:t xml:space="preserve">; manufacturing equipment became 7-year MACRS property; purchased software became 36-month amortizable property under §167(f) (1993), while self-developed software costs were currently deductible under §174 and Rev. Proc. 2000-50. The recovery period for manufacturing structures, thirteen times longer than even the slowest software treatment (with most software development cost recovered immediately), was the largest single tax-code differential between the two sectors and operated continuously from 1986 forward. The asymmetry was sharper than the depreciation periods alone suggest: software investment under §167 consists of workforce costs (developer labor and contractor fees, </w:t>
      </w:r>
      <w:hyperlink r:id="rId13">
        <w:r>
          <w:rPr>
            <w:rStyle w:val="Hyperlink"/>
          </w:rPr>
          <w:t>typically 75 to 90 percent of capitalized software for pure software companies</w:t>
        </w:r>
      </w:hyperlink>
      <w:r>
        <w:t xml:space="preserve"> and 60 to 70 percent for AI-heavy companies whose GPU and compute costs have grown materially in 2024-2026) and systems costs (cloud infrastructure, hardware, and software tools making up the balance). Rapid recovery of software cost was in economic substance rapid recovery of capitalized labor. Manufacturing labor that produces work-in-process inventory remained subject to </w:t>
      </w:r>
      <w:hyperlink r:id="rId14">
        <w:r>
          <w:rPr>
            <w:rStyle w:val="Hyperlink"/>
          </w:rPr>
          <w:t>§263A capitalization under UNICAP</w:t>
        </w:r>
      </w:hyperlink>
      <w:r>
        <w:t>, deductible when the inventory sold, usually under six months.</w:t>
      </w:r>
    </w:p>
    <w:p w14:paraId="63325151" w14:textId="77777777" w:rsidR="00D54997" w:rsidRDefault="00000000">
      <w:pPr>
        <w:pStyle w:val="BodyText"/>
      </w:pPr>
      <w:r>
        <w:rPr>
          <w:b/>
          <w:bCs/>
        </w:rPr>
        <w:t>The 1993 equity-formation divergence.</w:t>
      </w:r>
      <w:r>
        <w:t xml:space="preserve"> </w:t>
      </w:r>
      <w:hyperlink r:id="rId15">
        <w:r>
          <w:rPr>
            <w:rStyle w:val="Hyperlink"/>
          </w:rPr>
          <w:t>§1202 qualified small business stock</w:t>
        </w:r>
      </w:hyperlink>
      <w:r>
        <w:t xml:space="preserve"> (QSBS) was enacted to encourage small-company equity formation. The provision is facially sector-neutral and manufacturing is an explicitly qualifying trade or business. In practice, three structural features make §1202 predominantly a software subsidy. First and most binding, </w:t>
        <w:lastRenderedPageBreak/>
        <w:t xml:space="preserve">the aggregate-gross-assets test caps the issuing corporation at $50 million in total assets (cash, equipment, inventory, receivables, intangibles) at and before stock issuance. A typical mid-market manufacturer holds $30 to $150 million in tangible assets alone, crossing the ceiling before generating meaningful revenue. A typical software startup at the same revenue stage holds $5 to $30 million in total assets, well below the ceiling. Second, the corporation must be a C-corporation; most family-owned manufacturers operate as pass-through entities (LLCs, S-corps) for operational tax reasons and cannot qualify. Third, qualification requires equity issuance for cash, property, or services; manufacturers raise capital predominantly through debt collateralized by physical assets, generating no QSBS-eligible stock. The empirical distribution reflects these structural barriers: </w:t>
      </w:r>
      <w:hyperlink r:id="rId16">
        <w:r>
          <w:rPr>
            <w:rStyle w:val="Hyperlink"/>
          </w:rPr>
          <w:t>individual QSBS exclusions reached $42 billion in 2021 alone</w:t>
        </w:r>
      </w:hyperlink>
      <w:r>
        <w:t xml:space="preserve">, </w:t>
      </w:r>
      <w:hyperlink r:id="rId17">
        <w:r>
          <w:rPr>
            <w:rStyle w:val="Hyperlink"/>
          </w:rPr>
          <w:t>with 94 percent flowing to taxpayers earning more than $1 million annually</w:t>
        </w:r>
      </w:hyperlink>
      <w:r>
        <w:t xml:space="preserve">, and the bulk concentrated in technology and biotech startup exits rather than manufacturing succession transactions. The </w:t>
      </w:r>
      <w:hyperlink r:id="rId18">
        <w:r>
          <w:rPr>
            <w:rStyle w:val="Hyperlink"/>
          </w:rPr>
          <w:t>Joint Committee on Taxation projects the post-OBBBA §1202 regime</w:t>
        </w:r>
      </w:hyperlink>
      <w:r>
        <w:t xml:space="preserve"> to cost approximately $61.7 billion in federal revenue over 2025 to 2034, of which the bulk continues to flow to the same software and biotech founder population that captured the pre-OBBBA benefit. OBBBA raised the asset-test threshold from $50 million to $75 million for stock issued after July 4, 2025, which marginally helps capital-intensive manufacturers but does not address the entity-form or capital-structure barriers that exclude most manufacturers from the provision.</w:t>
      </w:r>
    </w:p>
    <w:p w14:paraId="1C66840B" w14:textId="77777777" w:rsidR="00D54997" w:rsidRDefault="00000000">
      <w:pPr>
        <w:pStyle w:val="BodyText"/>
      </w:pPr>
      <w:r>
        <w:rPr>
          <w:b/>
          <w:bCs/>
        </w:rPr>
        <w:t>The 1990s capital-markets evolution.</w:t>
      </w:r>
      <w:r>
        <w:t xml:space="preserve"> U.S. venture capital deployment expanded from less than $10 billion annually in the early 1990s to approximately $100 billion at the dot-com peak and roughly $200 to $300 billion in recent years. Software and software-adjacent categories captured an increasing share throughout: roughly 10 to 15 percent in the mid-1990s, approximately 40 to 50 percent by the mid-2000s, approximately 70 to 75 percent today. The PE buyout pattern in U.S. manufacturing emerged in the same period: private equity firms acquired their first generation of mid-market industrial companies in the mid-1990s, established 4-to-6x EBITDA leverage against physical asset bases by 2000, and standardized the dividend recap extraction mechanism by 2005. Capital flowed inward to software in compounding cycles and outward from manufacturing in extraction cycles for two decades.</w:t>
      </w:r>
    </w:p>
    <w:p w14:paraId="23E457E4" w14:textId="77777777" w:rsidR="00D54997" w:rsidRDefault="00000000">
      <w:pPr>
        <w:pStyle w:val="BodyText"/>
      </w:pPr>
      <w:r>
        <w:rPr>
          <w:b/>
          <w:bCs/>
        </w:rPr>
        <w:t>The 2001-to-2024 bonus depreciation interlude.</w:t>
      </w:r>
      <w:r>
        <w:t xml:space="preserve"> Congress repeatedly attempted to address the cost of the long manufacturing recovery period through temporary bonus depreciation provisions: a 30 percent bonus from 2001 to 2004, 50 percent from 2008 to 2017, a 100 percent rate under TCJA from 2017 to 2022, then a scheduled phasedown of 20 points per year beginning in 2023 (mooted mid-course by OBBBA's restoration). None of these provisions closed the depreciation gap permanently. All of them required reauthorization or sunset. None of them addressed the other five structural channels. A software firm amortizing over three years cared about bonus depreciation marginally; a manufacturer amortizing over thirty-nine years for buildings cared materially. The asymmetric salience compounded the asymmetric benefit.</w:t>
      </w:r>
    </w:p>
    <w:p w14:paraId="0A0C7AA8" w14:textId="77777777" w:rsidR="00D54997" w:rsidRDefault="00000000">
      <w:pPr>
        <w:pStyle w:val="BodyText"/>
      </w:pPr>
      <w:r>
        <w:rPr>
          <w:b/>
          <w:bCs/>
        </w:rPr>
        <w:t>The 2017 TCJA partial closure.</w:t>
      </w:r>
      <w:r>
        <w:t xml:space="preserve"> The Tax Cuts and Jobs Act represented the most aggressive pre-OBBBA attempt to address the depreciation gap. The 100 percent bonus depreciation provision narrowed the gap dramatically for new investment between 2017 and 2022. The Act simultaneously required amortization of research and experimental expenditures under §174 over five years starting in 2022, which hit software's R&amp;D-heavy </w:t>
        <w:lastRenderedPageBreak/>
        <w:t>operations more proportionally than manufacturing's R&amp;D-light operations. The combined effect over 2022 to 2024 was a brief period in which the federal tax treatment of capital investment and R&amp;D was less asymmetric between sectors than it had been at any point since 1986. The other five channels continued operating at full strength throughout.</w:t>
      </w:r>
    </w:p>
    <w:p w14:paraId="1BCA34AF" w14:textId="77777777" w:rsidR="00D54997" w:rsidRDefault="00000000">
      <w:pPr>
        <w:pStyle w:val="BodyText"/>
      </w:pPr>
      <w:r>
        <w:rPr>
          <w:b/>
          <w:bCs/>
        </w:rPr>
        <w:t>The continuous five.</w:t>
      </w:r>
      <w:r>
        <w:t xml:space="preserve"> The depreciation channel was variable across the 1986-to-2025 period: narrowed by bonus depreciation provisions and TCJA, widened by the lapse of those provisions. The other five channels were essentially constant. Property tax exposure operated continuously at a sixteen-fold differential for the entire period.</w:t>
      </w:r>
      <w:r>
        <w:rPr>
          <w:rStyle w:val="FootnoteReference"/>
        </w:rPr>
        <w:footnoteReference w:id="1"/>
      </w:r>
      <w:r>
        <w:t xml:space="preserve"> The capital markets architecture, including the </w:t>
      </w:r>
      <w:hyperlink r:id="rId19">
        <w:r>
          <w:rPr>
            <w:rStyle w:val="Hyperlink"/>
          </w:rPr>
          <w:t>EVA spread differential</w:t>
        </w:r>
      </w:hyperlink>
      <w:r>
        <w:t>, the valuation multiple differential, the VC allocation pattern, and the PE buyer pool dynamics, operated continuously and compounded each year. The labor markets architecture, including §1202 selectivity, §263A inventory capitalization, and the talent compensation differential, operated continuously. The effective-tax-rate differential through IP structures operated continuously, widened by globalization.</w:t>
      </w:r>
      <w:r>
        <w:rPr>
          <w:rStyle w:val="FootnoteReference"/>
        </w:rPr>
        <w:footnoteReference w:id="2"/>
      </w:r>
      <w:r>
        <w:t xml:space="preserve"> The regulatory compliance burden operated continuously, expanded by successive layers of federal and state regulation.</w:t>
      </w:r>
    </w:p>
    <w:p w14:paraId="3753D326" w14:textId="77777777" w:rsidR="00D54997" w:rsidRDefault="00000000">
      <w:pPr>
        <w:pStyle w:val="BodyText"/>
      </w:pPr>
      <w:r>
        <w:lastRenderedPageBreak/>
        <w:t>OBBBA in 2025 closed the depreciation channel. The five other channels, which operated continuously and at full strength throughout 1986 to 2025, continue to operate. The cumulative outcome those five channels produced over almost four decades cannot be reversed by closing the sixth.</w:t>
      </w:r>
    </w:p>
    <w:p w14:paraId="25D82DC6" w14:textId="77777777" w:rsidR="00D54997" w:rsidRDefault="00000000">
      <w:pPr>
        <w:pStyle w:val="Heading3"/>
      </w:pPr>
      <w:bookmarkStart w:id="7" w:name="Xb69411f80a107dbaac703ae84e0f96d1692571a"/>
      <w:bookmarkEnd w:id="6"/>
      <w:r>
        <w:t>III. Channel One: Depreciation Timing: What OBBBA Closed</w:t>
      </w:r>
    </w:p>
    <w:p w14:paraId="7160DE04" w14:textId="77777777" w:rsidR="00D54997" w:rsidRDefault="00000000">
      <w:pPr>
        <w:pStyle w:val="FirstParagraph"/>
      </w:pPr>
      <w:r>
        <w:t>The pre-OBBBA tax code treated a dollar invested in software as fully recoverable immediately to within three years and a dollar invested in a manufacturing facility as recoverable over a weighted average of approximately twenty-five years. The differential was driven by IRC §168's MACRS classifications: immediate-to-36-month recovery for software, 7-year for most industrial equipment, 15-year for qualified improvement property, and 39-year for nonresidential real property. Land underneath the factory was not depreciable at any horizon.</w:t>
      </w:r>
    </w:p>
    <w:p w14:paraId="2C323E88" w14:textId="77777777" w:rsidR="00D54997" w:rsidRDefault="00000000">
      <w:pPr>
        <w:pStyle w:val="BodyText"/>
      </w:pPr>
      <w:r>
        <w:t>At a 10 percent discount rate, the present value of the depreciation shield was approximately 92 to 100 cents on the dollar for a software investment and approximately 73 cents for a typical manufacturing facility investment. The roughly 20-to-27-point gap represented a structural tax preference for capital-light asset deployment, paid for entirely by the time value of money embedded in the depreciation schedule.</w:t>
      </w:r>
    </w:p>
    <w:p w14:paraId="1E95C3A5" w14:textId="77777777" w:rsidR="00D54997" w:rsidRDefault="00000000">
      <w:pPr>
        <w:pStyle w:val="BodyText"/>
      </w:pPr>
      <w:r>
        <w:t xml:space="preserve">OBBBA closed most of this gap for new investment. Effective January 19, 2025, </w:t>
      </w:r>
      <w:hyperlink r:id="rId20">
        <w:r>
          <w:rPr>
            <w:rStyle w:val="Hyperlink"/>
          </w:rPr>
          <w:t>the Act permanently restored 100 percent bonus depreciation under §168(k)</w:t>
        </w:r>
      </w:hyperlink>
      <w:r>
        <w:t xml:space="preserve"> for tangible MACRS property with a class life of twenty years or less, including all manufacturing equipment, qualified improvement property, and computer software. The Act also created a new category of "qualified production property" granting 100 percent immediate deduction for buildings used in manufacturing, production, or refining, a provision that for the first time in U.S. tax history places industrial structures on the same depreciation footing as equipment. The qualified-production-property provision is temporary, though the bonus depreciation restoration is permanent.</w:t>
      </w:r>
    </w:p>
    <w:p w14:paraId="727F5B6B" w14:textId="77777777" w:rsidR="00D54997" w:rsidRDefault="00000000">
      <w:pPr>
        <w:pStyle w:val="BodyText"/>
      </w:pPr>
      <w:r>
        <w:t xml:space="preserve">The Act also </w:t>
      </w:r>
      <w:hyperlink r:id="rId21">
        <w:r>
          <w:rPr>
            <w:rStyle w:val="Hyperlink"/>
          </w:rPr>
          <w:t>permanently restored immediate expensing of domestic research and experimental expenditures through new §174A</w:t>
        </w:r>
      </w:hyperlink>
      <w:r>
        <w:t>, reversing the TCJA-era requirement that R&amp;D be amortized over five years. Eligible taxpayers may apply the new rule retroactively to 2022 through 2024.</w:t>
      </w:r>
    </w:p>
    <w:p w14:paraId="1AE306D8" w14:textId="77777777" w:rsidR="00D54997" w:rsidRDefault="00000000">
      <w:pPr>
        <w:pStyle w:val="BodyText"/>
      </w:pPr>
      <w:r>
        <w:t>The combined effect is dramatic. A manufacturer making a $100 million capital investment in 2026, split between qualified equipment, qualified improvement property, and a qualified production building, now recovers approximately 100 cents of every dollar in the year placed in service. A software company making a $100 million investment recovers the same. The federal depreciation gap is closed for new investment in qualifying categories.</w:t>
      </w:r>
    </w:p>
    <w:p w14:paraId="2D000029" w14:textId="2D00002A">
      <w:r>
        <w:rPr>
          <w:b/>
        </w:rPr>
        <w:t xml:space="preserve">What the closure is worth in dollars. </w:t>
      </w:r>
      <w:r>
        <w:t xml:space="preserve">The worked example maintained alongside the legislative package makes the magnitude concrete. A manufacturer with $12 million in annual EBITDA making a $10 million equipment investment claims the same $10 million of total deductions under OBBBA as under pre-OBBBA straight-line recovery; OBBBA moves them forward, producing a $1.68 million tax saving in Year 1 that is given back at $0.42 million per year over Years 2 through 5. Five-year cumulative undiscounted net income is identical to the no-policy baseline, $39.5 million against $39.5 million, and the entire benefit is the time value of accelerated recognition: approximately $0.27 million in present value at an 8 percent cost of capital, or 2.7 percent of the asset. That is the realistic dollar scale of the reform this paper credits with closing the largest statutory gap. Section X returns to the same example to show what a profitability instrument adds on top of it.</w:t>
      </w:r>
    </w:p>
    <w:p w14:paraId="128A4066" w14:textId="77777777" w:rsidR="00D54997" w:rsidRDefault="00000000">
      <w:pPr>
        <w:pStyle w:val="BodyText"/>
      </w:pPr>
      <w:r>
        <w:t xml:space="preserve">Two limits on this closure deserve note. First, the qualified-production-property provision is temporary, while the broader provisions are permanent, establishing a structural risk that the manufacturing-favorable element disappears while the software-favorable </w:t>
        <w:lastRenderedPageBreak/>
        <w:t>element persists. Second, OBBBA changed nothing about existing manufacturing capital stock. The trillions of dollars in existing U.S. manufacturing plant continue to depreciate under the pre-OBBBA schedules they began on; only new investment captures the new treatment.</w:t>
      </w:r>
    </w:p>
    <w:p w14:paraId="5CD537CF" w14:textId="77777777" w:rsidR="00D54997" w:rsidRDefault="00000000">
      <w:pPr>
        <w:pStyle w:val="BodyText"/>
      </w:pPr>
      <w:r>
        <w:t>These limits matter, but they are subsidiary. The principal result is that Channel One (federal depreciation timing) is now substantially closed for prospective investment. The structural disadvantage facing manufacturing must therefore be operating through channels other than federal depreciation.</w:t>
      </w:r>
    </w:p>
    <w:p w14:paraId="7ACAE739" w14:textId="77777777" w:rsidR="00D54997" w:rsidRDefault="00000000">
      <w:pPr>
        <w:pStyle w:val="Heading3"/>
      </w:pPr>
      <w:bookmarkStart w:id="8" w:name="iv.-channel-two-property-tax"/>
      <w:bookmarkEnd w:id="7"/>
      <w:r>
        <w:t>IV. Channel Two: Property Tax</w:t>
      </w:r>
    </w:p>
    <w:p w14:paraId="55156C8B" w14:textId="77777777" w:rsidR="00D54997" w:rsidRDefault="00000000">
      <w:pPr>
        <w:pStyle w:val="FirstParagraph"/>
      </w:pPr>
      <w:r>
        <w:t>The state and local property tax burden falls almost entirely on physical-asset businesses. The S&amp;P 500 software sector holds approximately 4 percent of revenue in tangible business property; the S&amp;P 500 industrials median is approximately 60 percent, with primary metals running closer to 80 percent. Manufacturing in aggregate carries approximately $4 trillion in tangible business property subject to ad valorem taxation. Applying typical industrial property tax rates to those asset bases produces a roughly sixteen-fold differential in annual property tax exposure between a typical software firm and a typical manufacturer per dollar of revenue.</w:t>
      </w:r>
      <w:r>
        <w:rPr>
          <w:rStyle w:val="FootnoteReference"/>
        </w:rPr>
        <w:footnoteReference w:id="3"/>
      </w:r>
      <w:r>
        <w:t xml:space="preserve"> Twelve states additionally levy property tax on business inventory, layering a working-capital tax with no software analog.</w:t>
      </w:r>
    </w:p>
    <w:p w14:paraId="31F1ED7C" w14:textId="77777777" w:rsidR="00D54997" w:rsidRDefault="00000000">
      <w:pPr>
        <w:pStyle w:val="BodyText"/>
      </w:pPr>
      <w:r>
        <w:t>The federal government has no jurisdiction over state and local property taxes. OBBBA did not address this channel; the constitutional structure of fiscal federalism prevents Congress from doing so directly. The sixteen-fold differential persists exactly as it did before OBBBA, and will persist exactly as it does after it.</w:t>
      </w:r>
    </w:p>
    <w:p w14:paraId="2930717C" w14:textId="77777777" w:rsidR="00D54997" w:rsidRDefault="00000000">
      <w:pPr>
        <w:pStyle w:val="Heading3"/>
      </w:pPr>
      <w:bookmarkStart w:id="9" w:name="X37c5e438281eb7bba567c3a8d02065f03a4b13f"/>
      <w:bookmarkEnd w:id="8"/>
      <w:r>
        <w:t>V. Channel Three: Capital Markets Architecture and the Flow Asymmetry</w:t>
      </w:r>
    </w:p>
    <w:p w14:paraId="427E67CE" w14:textId="77777777" w:rsidR="00D54997" w:rsidRDefault="00000000">
      <w:pPr>
        <w:pStyle w:val="FirstParagraph"/>
      </w:pPr>
      <w:r>
        <w:t xml:space="preserve">The capital-markets architecture is the channel through which the structural conditions described in this paper translate into observed reality. Growth capital flows toward software. Extractive capital flows toward manufacturing. Talent follows growth capital. The compounding effect over thirty years has produced a software and software-platform sector approaching $20 </w:t>
        <w:lastRenderedPageBreak/>
        <w:t>trillion in combined market capitalization and a manufacturing sector substantially smaller despite producing approximately 10 percent of U.S. GDP.</w:t>
      </w:r>
    </w:p>
    <w:p w14:paraId="066127CD" w14:textId="77777777" w:rsidR="00D54997" w:rsidRDefault="00000000">
      <w:pPr>
        <w:pStyle w:val="BodyText"/>
      </w:pPr>
      <w:r>
        <w:t>The asymmetry operates through five compounding mechanisms.</w:t>
      </w:r>
    </w:p>
    <w:p w14:paraId="58408E68" w14:textId="77777777" w:rsidR="00D54997" w:rsidRDefault="00000000">
      <w:pPr>
        <w:pStyle w:val="BodyText"/>
      </w:pPr>
      <w:r>
        <w:rPr>
          <w:b/>
          <w:bCs/>
        </w:rPr>
        <w:t>Venture and growth capital allocate almost entirely to software.</w:t>
      </w:r>
      <w:r>
        <w:t xml:space="preserve"> Of the approximately $200 to $300 billion in U.S. venture capital deployed annually in recent years (the upper end driven by AI megarounds), software and software-adjacent categories (SaaS, fintech, AI/ML, cybersecurity, marketplaces) receive approximately 70 to 75 percent. Hard-tech manufacturing (semiconductors, advanced materials, robotics hardware) receives roughly 8 to 10 percent. Traditional manufacturing, outside the recent emphasis on defense-driven companies, receives essentially no venture capital. The allocation is driven by exit-multiple expectations: software exits at 5-to-10x revenue multiples and occasionally 30-to-100x for high-growth SaaS, supporting the power-law return requirements of venture economics. Manufacturing exits at 1-to-3x revenue multiples, foreclosing venture-style risk-adjusted returns. A venture fund's return mathematics requires power-law outcomes from a small portfolio fraction, which software provides and manufacturing structurally does not.</w:t>
      </w:r>
    </w:p>
    <w:p w14:paraId="3FA408B1" w14:textId="77777777" w:rsidR="00D54997" w:rsidRDefault="00000000">
      <w:pPr>
        <w:pStyle w:val="BodyText"/>
      </w:pPr>
      <w:r>
        <w:rPr>
          <w:b/>
          <w:bCs/>
        </w:rPr>
        <w:t>Private equity dominates the buyer pool for U.S. mid-market manufacturers.</w:t>
      </w:r>
      <w:r>
        <w:t xml:space="preserve"> Private equity firms own approximately 30 percent of U.S. middle-market manufacturers by several industry estimates, having displaced the family-owned and operating-acquirer pools that historically served this market. The PE strategy on manufacturing is structurally different from venture capital and structurally different from long-cycle operating ownership. PE acquires established cash-flow-positive manufacturers at multiples that reflect manufacturing's structurally suppressed equity valuations, layers in typically 4x-to-6x EBITDA of acquisition debt (higher in peak credit conditions) collateralized by the manufacturer's physical asset base, extracts cash flow during a 5-to-7-year holding period through dividend recapitalizations and operational cost cutting, and exits to a strategic acquirer or another PE fund. The model works because the same EVA-spread differential that suppresses manufacturing's equity multiples relative to software creates an arbitrage opportunity: manufacturers are undervalued against their physical asset base and predictable cash flow, and PE captures the gap through leverage and cost extraction.</w:t>
      </w:r>
    </w:p>
    <w:p w14:paraId="12EE5122" w14:textId="77777777" w:rsidR="00D54997" w:rsidRDefault="00000000">
      <w:pPr>
        <w:pStyle w:val="BodyText"/>
      </w:pPr>
      <w:r>
        <w:t>The consequence for the manufacturing capital base is that capital flows in but flows out faster than it enters. Cash flow generated by U.S. manufacturers under PE ownership funds debt service on acquisition leverage rather than reinvestment in plant, equipment, or workforce development. Average leverage on PE-acquired manufacturers approaches 6x EBITDA at acquisition, leaving thin margins for capital expenditure beyond maintenance. The five-to-seven-year holding period is too short for the multi-decade capital decisions reshoring requires. The result is a manufacturing sector that generates substantial cash flow annually but produces shrinking productive capacity over time. This is the inverse of software's pattern, where venture capital flows in and stays in: founders retain equity, employees receive equity, the public-markets exit recycles gains into successor funds, and the cycle compounds.</w:t>
      </w:r>
    </w:p>
    <w:p w14:paraId="5BAB4F3B" w14:textId="77777777" w:rsidR="00D54997" w:rsidRDefault="00000000">
      <w:pPr>
        <w:pStyle w:val="BodyText"/>
      </w:pPr>
      <w:r>
        <w:rPr>
          <w:b/>
          <w:bCs/>
        </w:rPr>
        <w:t>Valuation multiples</w:t>
      </w:r>
      <w:r>
        <w:t xml:space="preserve"> translate the capital flow asymmetry into a measurable price differential. S&amp;P 500 software trades at a median forward P/E in the 28 to 32 range and </w:t>
        <w:lastRenderedPageBreak/>
        <w:t>EV/EBITDA in the 18 to 22 range. The S&amp;P 500 industrials median forward P/E sits in the 18 to 20 range, with EV/EBITDA around 12. A dollar of earnings in software supports approximately 1.6 times the equity capital that the same dollar of earnings supports in manufacturing. This valuation differential persists across all market cycles documented since the 2010s and is itself the mechanism that makes manufacturers attractive PE targets: a private mid-market manufacturer changes hands at 6 to 8x EBITDA against public industrial comparables near 12x, supports acquisition leverage against its asset base, funds dividend recapitalizations during the hold, and exits to the next financial buyer at a similar multiple, with returns generated by leverage and extraction rather than by operational growth.</w:t>
      </w:r>
    </w:p>
    <w:p w14:paraId="560B6805" w14:textId="77777777" w:rsidR="00D54997" w:rsidRDefault="00000000">
      <w:pPr>
        <w:pStyle w:val="BodyText"/>
      </w:pPr>
      <w:r>
        <w:rPr>
          <w:b/>
          <w:bCs/>
        </w:rPr>
        <w:t>Cost of capital does not rescue the comparison.</w:t>
      </w:r>
      <w:r>
        <w:t xml:space="preserve"> A natural objection is that manufacturers borrow cheaply against hard collateral and carry lower equity betas, so their blended cost of capital should be lower; in the Damodaran data it is: </w:t>
      </w:r>
      <w:hyperlink r:id="rId22">
        <w:r>
          <w:rPr>
            <w:rStyle w:val="Hyperlink"/>
          </w:rPr>
          <w:t>capital-intensive manufacturing carries a weighted-average cost of capital of approximately 7.2 percent against software's 9.3 percent</w:t>
        </w:r>
      </w:hyperlink>
      <w:r>
        <w:t>, per Damodaran's January 2026 sector cost-of-capital data. That is what makes the return architecture damning: even with a roughly 200-basis-point cost-of-capital advantage, capital-intensive manufacturing cannot clear its own hurdle rate, while software clears a higher hurdle by 20 percentage points. The manufacturing problem is return on invested capital, not access to leverage; cheap secured debt is what extractive acquirers borrow against, and it does nothing to make the underlying equity investable for growth capital.</w:t>
      </w:r>
    </w:p>
    <w:p w14:paraId="0EA25CA3" w14:textId="77777777" w:rsidR="00D54997" w:rsidRDefault="00000000">
      <w:pPr>
        <w:pStyle w:val="BodyText"/>
      </w:pPr>
      <w:r>
        <w:rPr>
          <w:b/>
          <w:bCs/>
        </w:rPr>
        <w:t>EVA spread differential.</w:t>
      </w:r>
      <w:r>
        <w:t xml:space="preserve"> </w:t>
      </w:r>
      <w:hyperlink r:id="rId23">
        <w:r>
          <w:rPr>
            <w:rStyle w:val="Hyperlink"/>
          </w:rPr>
          <w:t>Professor Aswath Damodaran's January 2026 EVA dataset</w:t>
        </w:r>
      </w:hyperlink>
      <w:r>
        <w:t xml:space="preserve"> covering 90-plus U.S. industry sectors documents the underlying return architecture in precise terms. </w:t>
      </w:r>
      <w:hyperlink r:id="rId24">
        <w:r>
          <w:rPr>
            <w:rStyle w:val="Hyperlink"/>
          </w:rPr>
          <w:t>Broad U.S. manufacturing</w:t>
        </w:r>
      </w:hyperlink>
      <w:r>
        <w:t xml:space="preserve"> (Tier 1: 22 NAICS 31–33 sectors, 1,066 firms) earns a weighted-average return on invested capital of approximately 16.0 percent against its weighted-average cost of capital, producing an EVA spread of approximately </w:t>
      </w:r>
      <w:r>
        <w:rPr>
          <w:b/>
          <w:bCs/>
        </w:rPr>
        <w:t>+8.4 percentage points</w:t>
      </w:r>
      <w:r>
        <w:t xml:space="preserve">. The five capital-intensive physical sectors (Tier 2: Auto &amp; Truck, Chemical, Steel, Rubber &amp; Tires, Auto Parts) average just 5.0 percent ROC against a 7.2 percent WACC, producing a negative EVA spread of </w:t>
      </w:r>
      <w:r>
        <w:rPr>
          <w:b/>
          <w:bCs/>
        </w:rPr>
        <w:t>−2.2 percentage points</w:t>
      </w:r>
      <w:r>
        <w:t xml:space="preserve">. Software (System &amp; Application, n=309 U.S. firms) earns 29.3 percent ROC against a 9.3 percent WACC for a </w:t>
      </w:r>
      <w:r>
        <w:rPr>
          <w:b/>
          <w:bCs/>
        </w:rPr>
        <w:t>+20.0 percentage point</w:t>
      </w:r>
      <w:r>
        <w:t xml:space="preserve"> EVA spread: approximately </w:t>
      </w:r>
      <w:r>
        <w:rPr>
          <w:b/>
          <w:bCs/>
        </w:rPr>
        <w:t>1.8x broad manufacturing's ROC and 5.9x capital-intensive manufacturing's ROC</w:t>
      </w:r>
      <w:r>
        <w:t xml:space="preserve">. Business and Consumer Services (n=155 firms) earn 28.3 percent ROC with a </w:t>
      </w:r>
      <w:r>
        <w:rPr>
          <w:b/>
          <w:bCs/>
        </w:rPr>
        <w:t>+21.1 percentage point</w:t>
      </w:r>
      <w:r>
        <w:t xml:space="preserve"> spread, the single largest positive spread in the dataset. The compounding logic is mathematical. A sector with a higher EVA spread reinvests retained earnings at a higher rate of return, attracts additional capital at a lower cost, and grows faster than a sector with a lower EVA spread, all else equal. Over thirty years the compounding has produced exactly the outcome observed.</w:t>
      </w:r>
    </w:p>
    <w:p w14:paraId="05C8A45F" w14:textId="77777777" w:rsidR="00D54997" w:rsidRDefault="00000000">
      <w:pPr>
        <w:pStyle w:val="BodyText"/>
      </w:pPr>
      <w:r>
        <w:rPr>
          <w:b/>
          <w:bCs/>
        </w:rPr>
        <w:t>Practitioner acknowledgment.</w:t>
      </w:r>
      <w:r>
        <w:t xml:space="preserve"> The structural insufficiency of venture capital for industrial investment is now openly acknowledged by the most prominent practitioners of capital-light venture investing. Marc Andreessen, whose 2011 essay "Why Software Is Eating the World" codified the industry's two-decade focus on capital-light scalable software, used his April 2020 essay </w:t>
      </w:r>
      <w:hyperlink r:id="rId25">
        <w:r>
          <w:rPr>
            <w:rStyle w:val="Hyperlink"/>
          </w:rPr>
          <w:t>"It's Time to Build"</w:t>
        </w:r>
      </w:hyperlink>
      <w:r>
        <w:t xml:space="preserve"> to indict the United States' failure to build manufacturing capacity across sectors from semiconductors to vaccines to medical supplies. Andreessen has since conceded that Peter Thiel's longstanding critique that U.S. innovation has run in "bits" but not "atoms" is "more correct than [he] initially gave [Thiel] credit for." Andreessen Horowitz's response was a </w:t>
      </w:r>
      <w:hyperlink r:id="rId26">
        <w:r>
          <w:rPr>
            <w:rStyle w:val="Hyperlink"/>
          </w:rPr>
          <w:t>$1.776 billion American Dynamism fund</w:t>
        </w:r>
      </w:hyperlink>
      <w:r>
        <w:t xml:space="preserve"> </w:t>
        <w:lastRenderedPageBreak/>
        <w:t xml:space="preserve">explicitly targeting national security, hardware, energy, and industrial sectors that prior a16z funds had largely avoided. Joe Lonsdale, co-founder of Palantir and managing partner of 8VC, was more direct in October 2025 when </w:t>
      </w:r>
      <w:hyperlink r:id="rId27">
        <w:r>
          <w:rPr>
            <w:rStyle w:val="Hyperlink"/>
          </w:rPr>
          <w:t>announcing 8VC's partnership with Apollo Global Management</w:t>
        </w:r>
      </w:hyperlink>
      <w:r>
        <w:t>: "While venture capital is well suited to funding technological breakthroughs, it's not sufficient to fund the huge projects that are required to increase our national productivity with the next wave of transformative technologies like AI, robotics, autonomous systems, biotechnology and nuclear energy." The most prominent practitioners of capital-light venture investing have themselves diagnosed the structural mismatch and are restructuring their own firms to address it through partnerships with asset managers whose capital structures can absorb the long-duration, capital-intensive characteristics of industrial investment.</w:t>
      </w:r>
    </w:p>
    <w:p w14:paraId="7D568B1A" w14:textId="77777777" w:rsidR="00D54997" w:rsidRDefault="00000000">
      <w:pPr>
        <w:pStyle w:val="BodyText"/>
      </w:pPr>
      <w:r>
        <w:rPr>
          <w:b/>
          <w:bCs/>
        </w:rPr>
        <w:t>The trend is structural, not cyclical.</w:t>
      </w:r>
      <w:r>
        <w:t xml:space="preserve"> Comparison across </w:t>
      </w:r>
      <w:hyperlink r:id="rId28">
        <w:r>
          <w:rPr>
            <w:rStyle w:val="Hyperlink"/>
          </w:rPr>
          <w:t>five Damodaran vintages from 2013 to 2026</w:t>
        </w:r>
      </w:hyperlink>
      <w:r>
        <w:t xml:space="preserve"> shows manufacturing sectors deteriorating or remaining negative while software and services held strong or improved. Auto Parts fell from +15.7pp to +0.8pp. Chemical Specialty fell from +21.7pp to +3.7pp. Electrical Equipment fell from +26.7pp to +6.6pp. Rubber &amp; Tires moved from +16.2pp to −1.3pp. Two sectors crossed from positive to negative across the period: Basic Chemical (+7.1pp to −2.5pp) and Auto &amp; Truck (−0.4pp to −7.1pp) now actively destroy economic value. Software moved from +38.0pp to +20.0pp (still massive). Services moved from +16.5pp to +21.1pp (improved). Pharmaceuticals moved from +20.1pp to +9.1pp (still positive). This trajectory reflects a permanent feature of capital-intensive, globally-competed industries facing state-subsidized foreign competitors.</w:t>
      </w:r>
    </w:p>
    <w:p w14:paraId="7C23664B" w14:textId="77777777" w:rsidR="00D54997" w:rsidRDefault="00000000">
      <w:pPr>
        <w:pStyle w:val="BodyText"/>
      </w:pPr>
      <w:r>
        <w:rPr>
          <w:b/>
          <w:bCs/>
        </w:rPr>
        <w:t>The pattern holds at the firm level.</w:t>
      </w:r>
      <w:r>
        <w:t xml:space="preserve"> Three company pairs illustrate the structural return gap. In each case the manufacturer is well-run and the gap reflects market structure rather than management quality. Nucor, the best-run U.S. steel company (lean, non-unionized, electric-arc-furnace operator that has outperformed peers for decades), has watched its EVA spread fall from +0.3pp in 2013 to −1.0pp in 2026, while Microsoft's spread moved from +38.0pp to +20.0pp over the same period: no steel mill can approach software returns regardless of operational excellence. Ford (175,000 U.S. employees, massive physical plants, essential durable good) earns near or below its WACC, with EVA falling from −0.4pp in 2013 to −7.1pp in 2026, while Eli Lilly earns 30 to 50 percent ROC on GLP-1 pricing power, generating more revenue from a single molecule (tirzepatide) than Ford's North American manufacturing. Dow (capital-intensive basic chemicals, enormous fixed-asset base, energy-intensive, cyclical margins) crossed from +7.1pp in 2013 to −2.5pp in 2026, while Accenture's consulting business has improved from +16.5pp to +21.1pp. Assets that walk out the door every evening earn more than billion-dollar chemical plants.</w:t>
      </w:r>
    </w:p>
    <w:p w14:paraId="2C000001" w14:textId="2C000001">
      <w:r>
        <w:rPr>
          <w:b/>
        </w:rPr>
        <w:t xml:space="preserve">The apparent counterexample: software is now building datacenters. </w:t>
      </w:r>
      <w:r>
        <w:t xml:space="preserve">The cleanest test of this channel’s logic arrived between 2023 and 2026, when the software sector itself became capital-intensive. The AI buildout has hyperscalers committing capital expenditures at a scale no manufacturer has ever attempted, against return profiles that are genuinely uncertain: AI monetization remains unproven at anything near the scale the spending assumes. And the capital appeared instantly, through every channel the U.S. financial system operates. Alphabet finances its buildout from operating cash flow and an equity base that absorbs the spending without strain. The frontier labs, OpenAI, Anthropic, and xAI, raise venture and strategic equity in rounds measured in the tens of billions, the same rounds that now dominate aggregate U.S. venture statistics. Oracle finances its buildout from operating cash flow plus aggressive debt issuance against contracted future capacity. Equity, venture capital, and leverage all opened simultaneously, for physical assets, on uncertain returns.</w:t>
      </w:r>
    </w:p>
    <w:p w14:paraId="2C000002" w14:textId="2C000002">
      <w:r>
        <w:t xml:space="preserve">What looks like a counterexample is the channel’s confirmation. The allocation machinery prices expected economic spread rather than asset tangibility or certainty: a datacenter is financed on the expectation that the income statement above it will look like software, with winner-take-most market structure and 20-point economic spreads if the bet pays, and that fat-tailed distribution attracts capital that manufacturing’s modest-but-knowable return profile cannot. OBBBA itself illustrates the neutrality trap at work here: its permanent bonus depreciation covers servers and datacenter equipment as fully as machine tools, and the scale of AI capital expenditure makes hyperscalers among the largest dollar beneficiaries of the provision enacted as manufacturing relief. The episode also carries a warning the thesis of this channel predicts: as the physical capital accumulates, depreciation has begun to weigh on hyperscaler margins, and if AI revenue disappoints, the sector will discover what manufacturers have always known about the gravity of fixed assets. Whether software economics survive becoming capital-intensive is the open question of the decade. That capital flooded in years before the question could be answered is the demonstration of how the machinery allocates.</w:t>
      </w:r>
    </w:p>
    <w:p w14:paraId="2B000001" w14:textId="2B000001">
      <w:r>
        <w:rPr>
          <w:b/>
        </w:rPr>
        <w:t xml:space="preserve">The mirror image: China’s full-cycle industrial-finance relay. </w:t>
      </w:r>
      <w:r>
        <w:t xml:space="preserve">The U.S. capital-markets architecture documented above channels capital away from manufacturing at every stage. China has constructed the mirror image: a coordinated industrial-finance relay that channels risk-shared capital toward manufacturing at every stage, on the design theory that whoever finances the frontier technology captures the manufacturing scale-up that follows. At the frontier-startup leg, the June 2026 State Council deployment on future industries paired government investment guidance funds with explicit risk-sharing and risk-compensation mechanisms for quantum technology, biomanufacturing, controllable nuclear fusion, brain-computer interfaces, 6G, and the low-altitude economy. At the strategic-emerging-industry leg, the December 2025 National Venture Capital Guidance Fund mobilizes central-government capital to crowd in local-government, state-owned-enterprise, insurance, and private-equity capital across more than 600 sub-funds, branded explicitly as patient capital. At the established-producer leg, the China Development Bank, Export-Import Bank of China, and People’s Bank of China structural-relending apparatus provides directed credit at 1.5 to 3.5 percent to designated priority sectors. The United States runs the opposite structure: strong venture infrastructure at the frontier leg, partial tax-code infrastructure at the established-producer leg, and a missing segment at the production-scale-up leg in between, which is precisely where the capital flow asymmetry documented in this channel does its compounding work. The competition is therefore between a state that relays capital toward production and a policy architecture that, through facially neutral provisions, relays it away from production.</w:t>
      </w:r>
    </w:p>
    <w:p w14:paraId="75184334" w14:textId="77777777" w:rsidR="00D54997" w:rsidRDefault="00000000">
      <w:pPr>
        <w:pStyle w:val="BodyText"/>
      </w:pPr>
      <w:r>
        <w:t xml:space="preserve">OBBBA's depreciation reform marginally improves manufacturing's projected return on new investment by approximately 100 to 150 basis points on after-tax cost of capital. The change is real but does not close a </w:t>
      </w:r>
      <w:r>
        <w:rPr>
          <w:b/>
          <w:bCs/>
        </w:rPr>
        <w:t>1,100-to-2,200-basis-point EVA spread differential</w:t>
      </w:r>
      <w:r>
        <w:t>, does not redirect venture capital toward manufacturing, does not change the PE arbitrage opportunity that depends on suppressed manufacturing multiples, and does not change the valuation-multiple or cost-of-equity differentials. The capital flow asymmetry remains the dominant channel.</w:t>
      </w:r>
    </w:p>
    <w:p w14:paraId="3ED71AC0" w14:textId="77777777" w:rsidR="00D54997" w:rsidRDefault="00000000">
      <w:pPr>
        <w:pStyle w:val="Heading3"/>
      </w:pPr>
      <w:bookmarkStart w:id="10" w:name="X3e6dc7218d914aa1ff4a23bd682a0dcf8533543"/>
      <w:bookmarkEnd w:id="9"/>
      <w:r>
        <w:lastRenderedPageBreak/>
        <w:t>VI. Channel Four: Labor Markets Architecture</w:t>
      </w:r>
    </w:p>
    <w:p w14:paraId="5D2A1123" w14:textId="77777777" w:rsidR="00D54997" w:rsidRDefault="00000000">
      <w:pPr>
        <w:pStyle w:val="FirstParagraph"/>
      </w:pPr>
      <w:r>
        <w:rPr>
          <w:b/>
          <w:bCs/>
        </w:rPr>
        <w:t>Stock-based compensation.</w:t>
      </w:r>
      <w:r>
        <w:t xml:space="preserve"> The U.S. tax code treats stock-based compensation favorably for both employer and employee through several mechanisms that apply equally to software and manufacturing in statute but differ sharply in practice. Incentive stock options under </w:t>
      </w:r>
      <w:hyperlink r:id="rId29">
        <w:r>
          <w:rPr>
            <w:rStyle w:val="Hyperlink"/>
          </w:rPr>
          <w:t>§422</w:t>
        </w:r>
      </w:hyperlink>
      <w:r>
        <w:t xml:space="preserve"> provide tax-advantaged employee compensation. Qualified small business stock under </w:t>
      </w:r>
      <w:hyperlink r:id="rId30">
        <w:r>
          <w:rPr>
            <w:rStyle w:val="Hyperlink"/>
          </w:rPr>
          <w:t>§1202</w:t>
        </w:r>
      </w:hyperlink>
      <w:r>
        <w:t xml:space="preserve"> grants up to $10 million in federal capital gains exclusion on qualifying equity held five years ($15 million, with tiered 50, 75, and 100 percent exclusions at three-, four-, and five-year holds, for stock issued after July 4, 2025). The </w:t>
      </w:r>
      <w:hyperlink r:id="rId31">
        <w:r>
          <w:rPr>
            <w:rStyle w:val="Hyperlink"/>
          </w:rPr>
          <w:t>§83(b) election</w:t>
        </w:r>
      </w:hyperlink>
      <w:r>
        <w:t xml:space="preserve"> allows restricted-stock recipients to lock in current valuations.</w:t>
      </w:r>
    </w:p>
    <w:p w14:paraId="31E0604E" w14:textId="77777777" w:rsidR="00D54997" w:rsidRDefault="00000000">
      <w:pPr>
        <w:pStyle w:val="BodyText"/>
      </w:pPr>
      <w:r>
        <w:t>Software startups are §1202 QSBS-eligible by default. They typically operate as C-corporations from inception, raise equity rather than debt, and stay below the asset test ($50 million historically, $75 million post-OBBBA) until they generate revenue. Manufacturing startups face structural friction at each step: capital intensity often requires debt rather than equity, equipment acquisition can breach the $50 million asset test before revenue, and many manufacturing entrepreneurs operate as pass-through entities (LLCs, S-corps) that do not qualify for §1202 at all. The result is that §1202 functions as a de facto subsidy for software equity formation and provides limited benefit to manufacturing equity formation, even though the statute is sector-neutral.</w:t>
      </w:r>
    </w:p>
    <w:p w14:paraId="07DB5C18" w14:textId="77777777" w:rsidR="00D54997" w:rsidRDefault="00000000">
      <w:pPr>
        <w:pStyle w:val="BodyText"/>
      </w:pPr>
      <w:r>
        <w:rPr>
          <w:b/>
          <w:bCs/>
        </w:rPr>
        <w:t>Inventory capitalization (§263A).</w:t>
      </w:r>
      <w:r>
        <w:t xml:space="preserve"> Under the </w:t>
      </w:r>
      <w:hyperlink r:id="rId32">
        <w:r>
          <w:rPr>
            <w:rStyle w:val="Hyperlink"/>
          </w:rPr>
          <w:t>UNICAP rules</w:t>
        </w:r>
      </w:hyperlink>
      <w:r>
        <w:t>, manufacturers must capitalize labor and overhead into inventory rather than expensing immediately. A manufacturer's $100 million of production labor is capitalized into work-in-process inventory and deducted only when the inventory sells, typically within two to six months; at prevailing financing costs the recurring deferral is worth roughly 1 to 3 percent of capitalized payroll annually, a permanent working-capital drag on every production dollar. Software firms have no inventory and expense labor immediately under §162. The §263A friction creates a real working-capital tax on manufacturing payroll that has no software analog and that OBBBA did not address.</w:t>
      </w:r>
    </w:p>
    <w:p w14:paraId="0568AA56" w14:textId="77777777" w:rsidR="00D54997" w:rsidRDefault="00000000">
      <w:pPr>
        <w:pStyle w:val="BodyText"/>
      </w:pPr>
      <w:r>
        <w:rPr>
          <w:b/>
          <w:bCs/>
        </w:rPr>
        <w:t>Talent compensation differential.</w:t>
      </w:r>
      <w:r>
        <w:t xml:space="preserve"> A senior engineer at a major U.S. software firm earns approximately $400,000 to $700,000 total compensation, including a substantial RSU component. A senior process engineer at a U.S. manufacturer earns approximately $180,000 to $280,000, almost entirely in cash. The 2x to 4x differential creates a structural talent allocation away from manufacturing that compounds annually through the choices of every engineering graduate. Software's compensation premium is itself a function of the capital flow asymmetry documented in Channel Three: equity-rich firms backed by venture capital can compensate in equity that appreciates with company growth; capital-constrained manufacturers under PE ownership compete on cash compensation budgets that the PE operating model is structurally incentivized to suppress.</w:t>
      </w:r>
    </w:p>
    <w:p w14:paraId="1B5B5FC4" w14:textId="77777777" w:rsidR="00D54997" w:rsidRDefault="00000000">
      <w:pPr>
        <w:pStyle w:val="BodyText"/>
      </w:pPr>
      <w:r>
        <w:t>Talent migration follows the capital flow logically. A STEM graduate in 2026 choosing between a software firm and a manufacturer faces not only the compensation differential but the implicit security differential: the software engineer's RSU package gives them a stake in employer success; the manufacturing engineer at a PE-owned firm faces career risk every time the parent fund reassesses portfolio strategy or executes a dividend recap that reduces operational margin. Individual talent decisions in this environment are rational responses to the structural conditions producing the capital flow asymmetry.</w:t>
      </w:r>
    </w:p>
    <w:p w14:paraId="1B75905D" w14:textId="77777777" w:rsidR="00D54997" w:rsidRDefault="00000000">
      <w:pPr>
        <w:pStyle w:val="BodyText"/>
      </w:pPr>
      <w:r>
        <w:lastRenderedPageBreak/>
        <w:t>OBBBA did not change §1202, §263A, or the structural compensation differential. Channel Four remains operative. The rise of software-driven automated manufacturing may narrow the compensation disparity for a small number of engineers; the structural differential remains for the sector at large.</w:t>
      </w:r>
    </w:p>
    <w:p w14:paraId="082FEF12" w14:textId="77777777" w:rsidR="00D54997" w:rsidRDefault="00000000">
      <w:pPr>
        <w:pStyle w:val="Heading3"/>
      </w:pPr>
      <w:bookmarkStart w:id="11" w:name="Xfd4f22a30a3236ec379e48ef11543d8e69a95c8"/>
      <w:bookmarkEnd w:id="10"/>
      <w:r>
        <w:t>VII. Channel Five: Effective Tax Rates Through IP Structures</w:t>
      </w:r>
    </w:p>
    <w:p w14:paraId="31F32A41" w14:textId="77777777" w:rsidR="00D54997" w:rsidRDefault="00000000">
      <w:pPr>
        <w:pStyle w:val="FirstParagraph"/>
      </w:pPr>
      <w:r>
        <w:t>Statutory corporate tax is 21 percent for both sectors. Effective tax rates diverge sharply because intangible-IP-heavy businesses can shift earnings to low-tax jurisdictions while physical-asset-heavy businesses cannot.</w:t>
      </w:r>
    </w:p>
    <w:p w14:paraId="58A8D99A" w14:textId="77777777" w:rsidR="00D54997" w:rsidRDefault="00000000">
      <w:pPr>
        <w:pStyle w:val="BodyText"/>
      </w:pPr>
      <w:r>
        <w:t>Reported effective tax rates for major software companies have typically run 13 to 18 percent in recent fiscal years: Microsoft 17.6 percent in fiscal 2025, Alphabet 16.8 percent in 2025, and Meta approximately 13 percent on an adjusted basis with 13 to 16 percent guided for 2026 (Meta's reported 2025 rate spiked to 30 percent on a one-time valuation-allowance charge triggered by OBBBA's enactment). Reported effective tax rates for capital-intensive manufacturers typically run 18 to 22 percent, with Cummins and Deere at approximately 20 to 22 percent in recent fiscal years; Ford is excluded as a clean comparator because special items swung its reported rate from negative 9 percent in 2023 to 31 percent in 2025. Single-year reported rates are noisy, and the comparison is best read on multi-year adjusted rates, where the gap holds. The several-hundred-basis-point effective-tax-rate gap is achieved through transfer-pricing structures that book IP-related income offshore.</w:t>
      </w:r>
    </w:p>
    <w:p w14:paraId="60B0C88D" w14:textId="77777777" w:rsidR="00D54997" w:rsidRDefault="00000000">
      <w:pPr>
        <w:pStyle w:val="BodyText"/>
      </w:pPr>
      <w:r>
        <w:t>The GILTI and FDII provisions of TCJA reduced but did not eliminate the differential, and the OECD Pillar Two minimum-tax implementation compresses it further. OBBBA adjusted the rates (recasting GILTI as Net CFC Tested Income and trimming the FDII deduction, moving both effective rates to approximately 14 percent) without changing the structural reality that intangible IP can relocate across jurisdictions and physical capital cannot. That gap is not closed by any federal statute targeting domestic depreciation.</w:t>
      </w:r>
    </w:p>
    <w:p w14:paraId="790AC0BB" w14:textId="77777777" w:rsidR="00D54997" w:rsidRDefault="00000000">
      <w:pPr>
        <w:pStyle w:val="BodyText"/>
      </w:pPr>
      <w:r>
        <w:t>The implication for manufacturing investment decisions is significant: a manufacturer evaluating a U.S. greenfield project against the same project located in Mexico, Vietnam, or Eastern Europe faces not only the cost-of-capital differential documented in Channel Three but a several-hundred-basis-point effective tax rate disadvantage that a software competitor evaluating a U.S. headquarters location simply does not face.</w:t>
      </w:r>
    </w:p>
    <w:p w14:paraId="2C90BB46" w14:textId="77777777" w:rsidR="00D54997" w:rsidRDefault="00000000">
      <w:pPr>
        <w:pStyle w:val="Heading3"/>
      </w:pPr>
      <w:bookmarkStart w:id="12" w:name="X5689ab754ba9ad6faa118376ba349183f3f9109"/>
      <w:bookmarkEnd w:id="11"/>
      <w:r>
        <w:t>VIII. Channel Six: Regulatory Compliance Burden</w:t>
      </w:r>
    </w:p>
    <w:p w14:paraId="476D3124" w14:textId="77777777" w:rsidR="00D54997" w:rsidRDefault="00000000">
      <w:pPr>
        <w:pStyle w:val="FirstParagraph"/>
      </w:pPr>
      <w:r>
        <w:t>Manufacturing operations face a regulatory surface that includes OSHA workplace safety, EPA emissions and waste under the Clean Air Act and Clean Water Act, RCRA hazardous-materials handling, MSHA for mining, FDA for food and pharmaceutical applications, USDA for agricultural products, FCC for emitting devices, DOT for transport, state environmental departments, state labor departments, local building codes, local fire codes, local zoning, and local utility regulation. Each layer requires dedicated compliance staff, periodic inspections, permit applications, and routine reporting.</w:t>
      </w:r>
    </w:p>
    <w:p w14:paraId="4302FB35" w14:textId="77777777" w:rsidR="00D54997" w:rsidRDefault="00000000">
      <w:pPr>
        <w:pStyle w:val="BodyText"/>
      </w:pPr>
      <w:r>
        <w:t>Software operations face a fraction of this regulatory surface: data privacy under CCPA and analogous state laws, some sectoral regulation (HIPAA for health-tech, SOX where finance-related, GDPR where European users are addressed), and standard labor compliance on the headcount it has.</w:t>
      </w:r>
    </w:p>
    <w:p w14:paraId="646C04E1" w14:textId="77777777" w:rsidR="00D54997" w:rsidRDefault="00000000">
      <w:pPr>
        <w:pStyle w:val="BodyText"/>
      </w:pPr>
      <w:r>
        <w:t xml:space="preserve">A 2024 NAM survey estimated average compliance cost per manufacturing employee at approximately $30,000 annually. Comparable estimates for software typically run at one-quarter to one-third that figure. On a $1 billion revenue base, a manufacturer's approximately 4,000 employees at roughly $30,000 each generate approximately $120 million in annual compliance cost; a software firm at the same revenue runs leaner headcount at one-quarter to one-third the per-employee burden, roughly $20 to $30 million. The differential </w:t>
        <w:lastRenderedPageBreak/>
        <w:t>approximates $90 to $100 million annually: fully deductible for federal tax purposes but real cash out the door, and absent from software financials.</w:t>
      </w:r>
    </w:p>
    <w:p w14:paraId="1F0429C5" w14:textId="77777777" w:rsidR="00D54997" w:rsidRDefault="00000000">
      <w:pPr>
        <w:pStyle w:val="BodyText"/>
      </w:pPr>
      <w:r>
        <w:t>The regulatory burden is not federal in origin only; substantial components are state, local, and international. Federal tax reform under OBBBA addresses none of it. Channel Six is unchanged.</w:t>
      </w:r>
    </w:p>
    <w:p w14:paraId="7DC331F8" w14:textId="77777777" w:rsidR="00D54997" w:rsidRDefault="00000000">
      <w:pPr>
        <w:pStyle w:val="Heading3"/>
      </w:pPr>
      <w:bookmarkStart w:id="13" w:name="X042ea7ab3f23c37e635cd1975ce750d7095599e"/>
      <w:bookmarkEnd w:id="12"/>
      <w:r>
        <w:t>IX. The Cumulative Effect: Microeconomic Efficiency Versus Strategic Adequacy</w:t>
      </w:r>
    </w:p>
    <w:p w14:paraId="4460FB44" w14:textId="77777777" w:rsidR="00D54997" w:rsidRDefault="00000000">
      <w:pPr>
        <w:pStyle w:val="FirstParagraph"/>
      </w:pPr>
      <w:r>
        <w:t>A skeptical reader could grant each of the six channels documented above and still resist the policy conclusion the paper draws from them. The skeptical case runs as follows. Capital-light businesses should trade at higher multiples because they require less reinvestment. Intangible assets should be expensed faster than physical assets because they depreciate faster. Software talent should command higher compensation than manufacturing talent because productivity is higher. IP should be mobile across jurisdictions because that is the economic nature of IP. Light-regulation industries should outperform heavy-regulation industries because the regulation imposes a real productivity tax. Each individual channel reflects efficient capital allocation given the underlying asset characteristics. Venture capital flowing to software and private equity flowing to manufacturing each reflect rational investor responses to the return profiles those sectors offer.</w:t>
      </w:r>
    </w:p>
    <w:p w14:paraId="5794496D" w14:textId="77777777" w:rsidR="00D54997" w:rsidRDefault="00000000">
      <w:pPr>
        <w:pStyle w:val="BodyText"/>
      </w:pPr>
      <w:r>
        <w:t>That argument is correct on its own terms and irrelevant to the policy question. The cumulative effect of efficient capital allocation across all six channels, compounded over thirty years, has produced a U.S. manufacturing capital base that is uncompetitive globally and a software sector that is hyper-competitive.</w:t>
      </w:r>
    </w:p>
    <w:p w14:paraId="2B000003" w14:textId="2B000003">
      <w:r>
        <w:rPr>
          <w:b/>
        </w:rPr>
        <w:t xml:space="preserve">A more technical version of the objection deserves a direct answer. </w:t>
      </w:r>
      <w:r>
        <w:t xml:space="preserve">How much of the EVA spread differential is attributable to the six policy channels, as opposed to globalization, capital deepening, and sectoral productivity differences no U.S. policy created? The honest answer is that the decomposition is not cleanly identified, and this paper does not claim it is. Three things can be said. First, the vintage evidence is at least consistent with a policy-and-competition story: the sectors that deteriorated fastest between 2013 and 2026 are precisely those most exposed to state-subsidized foreign competition, while domestically sheltered sectors held. Second, the six channels are mechanisms, not residuals; each is documented directly from statute, market structure, and filings rather than inferred from the spread, and each operates regardless of what share of the level it explains. Third, and decisively for policy, the interventions in Section X are calibrated against the observed gap whatever its origin: the strategic-adequacy case does not require that policy caused the gap, only that policy can close enough of it and that closing it is worth the cost. The cost-benefit analysis accompanying the legislative package carries that burden.</w:t>
      </w:r>
    </w:p>
    <w:p w14:paraId="6ED1BFC0" w14:textId="77777777" w:rsidR="00D54997" w:rsidRDefault="00000000">
      <w:pPr>
        <w:pStyle w:val="BodyText"/>
      </w:pPr>
      <w:r>
        <w:rPr>
          <w:b/>
          <w:bCs/>
        </w:rPr>
        <w:t>The uncompetitive manufacturing base is the binding constraint on U.S. economic statecraft at a moment when economic statecraft has emerged as the central instrument of strategic competition with China.</w:t>
      </w:r>
    </w:p>
    <w:p w14:paraId="7FB60AD4" w14:textId="77777777" w:rsidR="00D54997" w:rsidRDefault="00000000">
      <w:pPr>
        <w:pStyle w:val="BodyText"/>
      </w:pPr>
      <w:r>
        <w:t>Efficient capital allocation in microeconomic terms is not the same as efficient capital allocation in geostrategic terms. The microeconomic case for allocating the marginal investment dollar to software is sound. The geostrategic case for ensuring that the manufacturing base remains capable of producing the goods, capacity, and supply-chain depth that economic statecraft requires is independent of microeconomic optimization and binds when manufacturing capability falls below the threshold strategic adequacy requires.</w:t>
      </w:r>
    </w:p>
    <w:p w14:paraId="05CA5E61" w14:textId="77777777" w:rsidR="00D54997" w:rsidRDefault="00000000">
      <w:pPr>
        <w:pStyle w:val="BodyText"/>
      </w:pPr>
      <w:r>
        <w:t>The United States has crossed that threshold. China produces approximately three times as many vehicles annually as the United States, dominates the supply chain for rare earths and processed critical minerals, holds a multi-year lead in the embodied-AI manufacturing stack including drones, robotics, and consumer connected devices, and controls choke points across pharmaceutical APIs, shipbuilding, and grid components. OBBBA narrowed one channel. Five remain operative.</w:t>
      </w:r>
    </w:p>
    <w:p w14:paraId="3F93705A" w14:textId="77777777" w:rsidR="00D54997" w:rsidRDefault="00000000">
      <w:pPr>
        <w:pStyle w:val="BodyText"/>
      </w:pPr>
      <w:r>
        <w:t xml:space="preserve">The venture capital response to this reality is real, well-financed, and analytically correct in its diagnosis. The "American Dynamism" investing thesis, codified by Andreessen Horowitz's </w:t>
      </w:r>
      <w:hyperlink r:id="rId33">
        <w:r>
          <w:rPr>
            <w:rStyle w:val="Hyperlink"/>
          </w:rPr>
          <w:t>$1.776 billion fund</w:t>
        </w:r>
      </w:hyperlink>
      <w:r>
        <w:t xml:space="preserve"> and echoed across 8VC, Lux Capital, Founders Fund, and </w:t>
        <w:lastRenderedPageBreak/>
        <w:t xml:space="preserve">General Catalyst, has deployed roughly $20 to $50 billion into hardware, defense, energy, robotics, and industrial automation companies that prior venture funds avoided. The portfolio includes Anduril, Hadrian, Castelion, Mariana Minerals, Saronic, Epirus, and Diode. Erin Price-Wright's February 2026 Tauber Global Operations keynote </w:t>
      </w:r>
      <w:hyperlink r:id="rId34">
        <w:r>
          <w:rPr>
            <w:rStyle w:val="Hyperlink"/>
          </w:rPr>
          <w:t>articulates the frame</w:t>
        </w:r>
      </w:hyperlink>
      <w:r>
        <w:t>: a "factory mindset" applied across the production pipeline, with AI continually rederiving optimal arrangements of inputs to outputs. The pivot is admirable in intent and direction.</w:t>
      </w:r>
    </w:p>
    <w:p w14:paraId="164A009E" w14:textId="77777777" w:rsidR="00D54997" w:rsidRDefault="00000000">
      <w:pPr>
        <w:pStyle w:val="BodyText"/>
      </w:pPr>
      <w:r>
        <w:t xml:space="preserve">But the pivot is economically dependent on Department of Defense procurement at premium-to-commercial pricing. Anduril generated approximately $2.15 billion in 2025 revenue primarily from DOD contracts and in March 2026 </w:t>
      </w:r>
      <w:hyperlink r:id="rId35">
        <w:r>
          <w:rPr>
            <w:rStyle w:val="Hyperlink"/>
          </w:rPr>
          <w:t>received a $20 billion Army enterprise contract</w:t>
        </w:r>
      </w:hyperlink>
      <w:r>
        <w:t xml:space="preserve">. Hadrian itself derives </w:t>
      </w:r>
      <w:hyperlink r:id="rId36">
        <w:r>
          <w:rPr>
            <w:rStyle w:val="Hyperlink"/>
          </w:rPr>
          <w:t>approximately 80 percent of revenue from long-term, three-to-seven-year production contracts</w:t>
        </w:r>
      </w:hyperlink>
      <w:r>
        <w:t xml:space="preserve">, primarily as a sub-tier supplier to DOD primes. </w:t>
      </w:r>
      <w:hyperlink r:id="rId37">
        <w:r>
          <w:rPr>
            <w:rStyle w:val="Hyperlink"/>
          </w:rPr>
          <w:t>Venture investment in U.S. defense tech reached $56 billion in 2025, up 83 percent year over year and surpassing the 2021 peak of $43 billion ($96 billion including OpenAI), per the Reagan Institute's 2026 National Security Innovation Base Report Card</w:t>
        </w:r>
      </w:hyperlink>
      <w:r>
        <w:t>. DOD procurement runs approximately $200 to $300 billion per year against U.S. manufacturing value added of approximately $2.9 trillion: seven to ten percent. The concentration inside that spending is sharper still: the same Reagan Institute report card finds that defense-tech companies captured $4.3 billion of $506 billion in FY2025 Pentagon contract obligations (a broader measure than procurement, including services and R&amp;D), 0.8 percent of the total, with 84 percent of that concentrated in SpaceX, Palantir, and Anduril. Even if every "neoprime" defense-tech startup succeeded at scale, the resulting capability addresses less than one-tenth of the manufacturing base. Auto parts suppliers, food processors, basic chemical plants, precision machining for commercial markets, electronics assembly, industrial machinery, pharmaceuticals, chemicals, and the vast majority of the supply chain that supports American economic statecraft face the commercial cost gap documented in the Hadrian sidebar without access to DOD premium pricing. The American Dynamism pivot reaches a sliver of the strategic-adequacy problem this paper documents.</w:t>
      </w:r>
    </w:p>
    <w:p w14:paraId="300671A9" w14:textId="77777777" w:rsidR="00D54997" w:rsidRDefault="00000000">
      <w:pPr>
        <w:pStyle w:val="Heading3"/>
      </w:pPr>
      <w:bookmarkStart w:id="14" w:name="x.-policy-implication"/>
      <w:bookmarkEnd w:id="13"/>
      <w:r>
        <w:t>X. Policy Implication</w:t>
      </w:r>
    </w:p>
    <w:p w14:paraId="02432615" w14:textId="77777777" w:rsidR="00D54997" w:rsidRDefault="00000000">
      <w:pPr>
        <w:pStyle w:val="FirstParagraph"/>
      </w:pPr>
      <w:r>
        <w:t xml:space="preserve">A </w:t>
      </w:r>
      <w:hyperlink r:id="rId52">
        <w:r>
          <w:rPr>
            <w:rStyle w:val="Hyperlink"/>
          </w:rPr>
          <w:t xml:space="preserve">Lockheed Martin employee, posting anonymously on the employer-verified forum Blind in May 2024</w:t>
        </w:r>
      </w:hyperlink>
      <w:r>
        <w:t xml:space="preserve">, described the underlying dynamic of DOD-funded industrial revival more bluntly: contracts to the new defense-tech category are "basically government subsidies to try to encourage more of this kind of thing... It is charity." The judgment comes from the incumbent side of the divide and is sharp, but it is only partially fair. The United States arrived here through three decades of failure: post-Cold War consolidation reduced </w:t>
      </w:r>
      <w:hyperlink r:id="rId38">
        <w:r>
          <w:rPr>
            <w:rStyle w:val="Hyperlink"/>
          </w:rPr>
          <w:t>prime contractors from 51 in 1993 to five</w:t>
        </w:r>
      </w:hyperlink>
      <w:r>
        <w:t xml:space="preserve">; commercial manufacturing capacity that could surge into defense applications was not maintained; the supplier substrate that makes prime contractor operations possible at any price eroded. The current Pentagon strategy (premium pricing to "neoprime" startups, the Replicator initiative, consolidated enterprise contracts) is what national security requires within the inherited procurement framework. The framework itself is broken: cost-plus contracts that disincentivize cost reduction, an acquisition process measured in years rather than months, a supplier base eroded by decades of offshoring. The binding constraint on U.S. defense capability is not topline budget but the monopoly structure of the defense industrial base itself. </w:t>
      </w:r>
      <w:hyperlink r:id="rId39">
        <w:r>
          <w:rPr>
            <w:rStyle w:val="Hyperlink"/>
          </w:rPr>
          <w:t xml:space="preserve">Devine and Slocum's May 2026 </w:t>
        </w:r>
        <w:r>
          <w:rPr>
            <w:rStyle w:val="Hyperlink"/>
            <w:i/>
            <w:iCs/>
          </w:rPr>
          <w:t>Wall Street Journal</w:t>
        </w:r>
        <w:r>
          <w:rPr>
            <w:rStyle w:val="Hyperlink"/>
          </w:rPr>
          <w:t xml:space="preserve"> analysis</w:t>
        </w:r>
      </w:hyperlink>
      <w:r>
        <w:t xml:space="preserve"> captures the dynamic: RTX entered 2026 with a $75 billion missile backlog while raising its 2026 guidance to 10 percent revenue growth and 25 percent adjusted operating profit growth, with high profits and persistent scarcity together being the structural signature of monopoly pricing rather than capacity-constrained competition. Multiyear procurement agreements without competitive alternatives or intellectual-property transfer milestones guarantee that incumbents will not price </w:t>
        <w:lastRenderedPageBreak/>
        <w:t>competitively or produce on time; government equity stakes compound the problem by giving incumbents a new argument against reform. Rent-seeking within this framework is the cost of three decades of neglect, not a verdict on the firms doing the work.</w:t>
      </w:r>
    </w:p>
    <w:p w14:paraId="6518A441" w14:textId="77777777" w:rsidR="00D54997" w:rsidRDefault="00000000">
      <w:pPr>
        <w:pStyle w:val="BodyText"/>
      </w:pPr>
      <w:r>
        <w:t>The legislative package proposed below is what makes it so that the next generation of national security capacity rebuilding does not have to rely on DOD premium pricing as its primary economic mechanism. The package builds the commercial manufacturing capacity, the cost-competitive supplier base, and the workforce dynamics that allow defense capability to surge from a healthy commercial industrial base rather than be created within DOD's broken procurement bubble.</w:t>
      </w:r>
    </w:p>
    <w:p w14:paraId="7D624D65" w14:textId="77777777" w:rsidR="00D54997" w:rsidRDefault="00000000">
      <w:pPr>
        <w:pStyle w:val="BodyText"/>
      </w:pPr>
      <w:r>
        <w:t>The argument that the United States must rebuild its manufacturing capital base cannot proceed by undoing the structural advantages of software, because each channel reflects efficient policy given the asset class it covers. The argument must instead proceed by giving manufacturing access to comparable economic mechanics through targeted positive policy, and by redirecting the capital and talent flows that currently bypass it. The legislative package proposed below is the structural complement to the American Dynamism pivot, extending the pivot's competitive economics from the DOD-dependent perimeter to the roughly 240,000 U.S. manufacturers operating in commercial markets where DOD premium pricing is not available.</w:t>
      </w:r>
    </w:p>
    <w:p w14:paraId="3F400F3B" w14:textId="77777777" w:rsidR="00D54997" w:rsidRDefault="00000000">
      <w:pPr>
        <w:pStyle w:val="BodyText"/>
      </w:pPr>
      <w:r>
        <w:t>Three categories of intervention follow from the six-channel analysis. Each is calibrated to alter a specific component of the capital flow asymmetry; the named bills are one instantiation of each category, and the categories themselves are the analytical claim.</w:t>
      </w:r>
    </w:p>
    <w:p w14:paraId="179527B9" w14:textId="77777777" w:rsidR="00D54997" w:rsidRDefault="00000000">
      <w:pPr>
        <w:pStyle w:val="BodyText"/>
      </w:pPr>
      <w:r>
        <w:rPr>
          <w:b/>
          <w:bCs/>
        </w:rPr>
        <w:t>Income-statement intervention</w:t>
      </w:r>
      <w:r>
        <w:t xml:space="preserve"> addresses Channels Three and Five by raising manufacturing's after-tax return on invested capital toward software's pretax return. The Manufacturing and Industrial Security Act's two-credit structure (MINA under §38A scaling credits to Domestic Value Added across all U.S. manufacturing, and DO IT NOW under §38B providing enhanced credits for strategic sectors) operates directly on manufacturer income statements without selecting winners or losers among firms. The DVA scaling rewards domestic production at every layer of the supply chain in proportion to value created. </w:t>
      </w:r>
      <w:hyperlink r:id="rId40">
        <w:r>
          <w:rPr>
            <w:rStyle w:val="Hyperlink"/>
          </w:rPr>
          <w:t>Calibrated against the canonical EVA dataset</w:t>
        </w:r>
      </w:hyperlink>
      <w:r>
        <w:t>, a combined 13 percent MISA credit converts capital-intensive Tier 2 manufacturing from an EVA spread of −2.2 percentage points to +10.8 percentage points, raising the after-incentive ROC from 5.0 percent to 18.0 percent against a 7.2 percent WACC, and narrowing the software gap from 5.9x to 1.6x. The breakeven credit required to reach WACC (the point at which manufacturing stops destroying economic value) is only 2.2 percent. The mechanism converts the structurally suppressed manufacturing EVA spread into a competitive return on invested capital, which is what venture and growth capital require to consider manufacturing as an asset class.</w:t>
      </w:r>
    </w:p>
    <w:p w14:paraId="2D00002B" w14:textId="2D00002C">
      <w:r>
        <w:rPr>
          <w:b/>
        </w:rPr>
        <w:t xml:space="preserve">The mechanism in dollars: the same worked example. </w:t>
      </w:r>
      <w:r>
        <w:t xml:space="preserve">The Channel One example quantified OBBBA’s contribution on a $10 million equipment investment by a manufacturer with $12 million in annual EBITDA: a timing benefit worth approximately $0.27 million in present value, with cumulative income unchanged. Running the MISA credit through the same income statement shows the difference between a timing instrument and a profitability instrument; the example manufacturer’s annual MISA credit computes to $1.8 million.</w:t>
      </w:r>
    </w:p>
    <w:tbl>
      <w:tblPr>
        <w:tblStyle w:val="Table"/>
        <w:tblW w:w="5000" w:type="pct"/>
        <w:tblLook w:val="0020" w:firstRow="1" w:lastRow="0" w:firstColumn="0" w:lastColumn="0" w:noHBand="0" w:noVBand="0"/>
      </w:tblPr>
      <w:tblGrid>
        <w:gridCol w:w="3200"/>
        <w:gridCol w:w="2050"/>
        <w:gridCol w:w="2050"/>
        <w:gridCol w:w="2060"/>
      </w:tblGrid>
      <w:tr>
        <w:tc>
          <w:tcPr>
            <w:tcW w:w="2340" w:type="dxa"/>
          </w:tcPr>
          <w:p w14:paraId="2D000001" w14:textId="2D000002">
            <w:r>
              <w:rPr>
                <w:b/>
              </w:rPr>
              <w:t xml:space="preserve">Five-year results: $10M equipment investment, $12M annual EBITDA manufacturer</w:t>
            </w:r>
          </w:p>
        </w:tc>
        <w:tc>
          <w:tcPr>
            <w:tcW w:w="2340" w:type="dxa"/>
          </w:tcPr>
          <w:p w14:paraId="2D000003" w14:textId="2D000004">
            <w:r>
              <w:rPr>
                <w:b/>
              </w:rPr>
              <w:t xml:space="preserve">No Policy</w:t>
            </w:r>
          </w:p>
        </w:tc>
        <w:tc>
          <w:tcPr>
            <w:tcW w:w="2340" w:type="dxa"/>
          </w:tcPr>
          <w:p w14:paraId="2D000005" w14:textId="2D000006">
            <w:r>
              <w:rPr>
                <w:b/>
              </w:rPr>
              <w:t xml:space="preserve">OBBBA Only</w:t>
            </w:r>
          </w:p>
        </w:tc>
        <w:tc>
          <w:tcPr>
            <w:tcW w:w="2340" w:type="dxa"/>
          </w:tcPr>
          <w:p w14:paraId="2D000007" w14:textId="2D000008">
            <w:r>
              <w:rPr>
                <w:b/>
              </w:rPr>
              <w:t xml:space="preserve">OBBBA + MISA</w:t>
            </w:r>
          </w:p>
        </w:tc>
      </w:tr>
      <w:tr>
        <w:tc>
          <w:tcPr>
            <w:tcW w:w="2340" w:type="dxa"/>
          </w:tcPr>
          <w:p w14:paraId="2D000009" w14:textId="2D00000A">
            <w:r>
              <w:t xml:space="preserve">Year 1 net income</w:t>
            </w:r>
          </w:p>
        </w:tc>
        <w:tc>
          <w:tcPr>
            <w:tcW w:w="2340" w:type="dxa"/>
          </w:tcPr>
          <w:p w14:paraId="2D00000B" w14:textId="2D00000C">
            <w:r>
              <w:t xml:space="preserve">$7.9M</w:t>
            </w:r>
          </w:p>
        </w:tc>
        <w:tc>
          <w:tcPr>
            <w:tcW w:w="2340" w:type="dxa"/>
          </w:tcPr>
          <w:p w14:paraId="2D00000D" w14:textId="2D00000E">
            <w:r>
              <w:t xml:space="preserve">$1.58M</w:t>
            </w:r>
          </w:p>
        </w:tc>
        <w:tc>
          <w:tcPr>
            <w:tcW w:w="2340" w:type="dxa"/>
          </w:tcPr>
          <w:p w14:paraId="2D00000F" w14:textId="2D000010">
            <w:r>
              <w:t xml:space="preserve">$3.38M</w:t>
            </w:r>
          </w:p>
        </w:tc>
      </w:tr>
      <w:tr>
        <w:tc>
          <w:tcPr>
            <w:tcW w:w="2340" w:type="dxa"/>
          </w:tcPr>
          <w:p w14:paraId="2D000011" w14:textId="2D000012">
            <w:r>
              <w:t xml:space="preserve">Years 2 to 5 net income (each year)</w:t>
            </w:r>
          </w:p>
        </w:tc>
        <w:tc>
          <w:tcPr>
            <w:tcW w:w="2340" w:type="dxa"/>
          </w:tcPr>
          <w:p w14:paraId="2D000013" w14:textId="2D000014">
            <w:r>
              <w:t xml:space="preserve">$7.9M</w:t>
            </w:r>
          </w:p>
        </w:tc>
        <w:tc>
          <w:tcPr>
            <w:tcW w:w="2340" w:type="dxa"/>
          </w:tcPr>
          <w:p w14:paraId="2D000015" w14:textId="2D000016">
            <w:r>
              <w:t xml:space="preserve">$9.48M</w:t>
            </w:r>
          </w:p>
        </w:tc>
        <w:tc>
          <w:tcPr>
            <w:tcW w:w="2340" w:type="dxa"/>
          </w:tcPr>
          <w:p w14:paraId="2D000017" w14:textId="2D000018">
            <w:r>
              <w:t xml:space="preserve">$11.28M</w:t>
            </w:r>
          </w:p>
        </w:tc>
      </w:tr>
      <w:tr>
        <w:tc>
          <w:tcPr>
            <w:tcW w:w="2340" w:type="dxa"/>
          </w:tcPr>
          <w:p w14:paraId="2D000019" w14:textId="2D00001A">
            <w:r>
              <w:t xml:space="preserve">Five-year cumulative net income</w:t>
            </w:r>
          </w:p>
        </w:tc>
        <w:tc>
          <w:tcPr>
            <w:tcW w:w="2340" w:type="dxa"/>
          </w:tcPr>
          <w:p w14:paraId="2D00001B" w14:textId="2D00001C">
            <w:r>
              <w:t xml:space="preserve">$39.5M</w:t>
            </w:r>
          </w:p>
        </w:tc>
        <w:tc>
          <w:tcPr>
            <w:tcW w:w="2340" w:type="dxa"/>
          </w:tcPr>
          <w:p w14:paraId="2D00001D" w14:textId="2D00001E">
            <w:r>
              <w:t xml:space="preserve">$39.5M</w:t>
            </w:r>
          </w:p>
        </w:tc>
        <w:tc>
          <w:tcPr>
            <w:tcW w:w="2340" w:type="dxa"/>
          </w:tcPr>
          <w:p w14:paraId="2D00001F" w14:textId="2D000020">
            <w:r>
              <w:t xml:space="preserve">$48.5M</w:t>
            </w:r>
          </w:p>
        </w:tc>
      </w:tr>
      <w:tr>
        <w:tc>
          <w:tcPr>
            <w:tcW w:w="2340" w:type="dxa"/>
          </w:tcPr>
          <w:p w14:paraId="2D000021" w14:textId="2D000022">
            <w:r>
              <w:t xml:space="preserve">Cumulative gain vs. no policy</w:t>
            </w:r>
          </w:p>
        </w:tc>
        <w:tc>
          <w:tcPr>
            <w:tcW w:w="2340" w:type="dxa"/>
          </w:tcPr>
          <w:p w14:paraId="2D000023" w14:textId="2D000024">
            <w:r>
              <w:t xml:space="preserve">(baseline)</w:t>
            </w:r>
          </w:p>
        </w:tc>
        <w:tc>
          <w:tcPr>
            <w:tcW w:w="2340" w:type="dxa"/>
          </w:tcPr>
          <w:p w14:paraId="2D000025" w14:textId="2D000026">
            <w:r>
              <w:t xml:space="preserve">$0 undiscounted; approximately +$0.27M in present value</w:t>
            </w:r>
          </w:p>
        </w:tc>
        <w:tc>
          <w:tcPr>
            <w:tcW w:w="2340" w:type="dxa"/>
          </w:tcPr>
          <w:p w14:paraId="2D000027" w14:textId="2D000028">
            <w:r>
              <w:t xml:space="preserve">+$9.0M permanent</w:t>
            </w:r>
          </w:p>
        </w:tc>
      </w:tr>
    </w:tbl>
    <w:p w14:paraId="2D00002D" w14:textId="2D00002E">
      <w:r>
        <w:t xml:space="preserve">Year 1 net income falls under expensing because the deduction concentrates there; Year 1 cash flow rises correspondingly. OBBBA’s benefit nets to zero over the asset’s life on an undiscounted basis because every dollar deducted early is a dollar unavailable later: real, but a present-value effect. MISA’s benefit recurs every year production continues, because a credit on current-year domestic value added is income rather than timing. On a like-for-like present-value basis over the same five years at the same 8 percent rate, the MISA credit is worth approximately $7.2 million against OBBBA’s $0.27 million on this investment. The full tables, assumptions, and the ten-year version of the comparison are maintained in the MISA Section-by-Section Explainer.</w:t>
      </w:r>
    </w:p>
    <w:p w14:paraId="2B000004" w14:textId="2B000004">
      <w:r>
        <w:rPr>
          <w:b/>
        </w:rPr>
        <w:t xml:space="preserve">The capitalization objection. </w:t>
      </w:r>
      <w:r>
        <w:t xml:space="preserve">The standard objection to any production credit is capitalization: the benefit gets priced into asset values and acquisition bids, enriching incumbent owners rather than building new capacity. MISA’s Domestic Value Added architecture is designed against this. The credit attaches to the flow of domestic value added, earned annually on current-year production, not to ownership of an asset; a buyer can capitalize the credit into a purchase price only by committing to maintain and grow the domestic production that generates it, which converts the supposed windfall into precisely the behavior the statute seeks, and an owner who cuts domestic content loses the credit in proportion. The anti-gaming audit accompanying the package treats capitalization, DVA manipulation, and related-party structuring at length.</w:t>
      </w:r>
    </w:p>
    <w:p w14:paraId="50219D27" w14:textId="77777777" w:rsidR="00D54997" w:rsidRDefault="00000000">
      <w:pPr>
        <w:pStyle w:val="BodyText"/>
      </w:pPr>
      <w:r>
        <w:rPr>
          <w:b/>
          <w:bCs/>
        </w:rPr>
        <w:t>Balance-sheet intervention</w:t>
      </w:r>
      <w:r>
        <w:t xml:space="preserve"> addresses Channel Three's cost-of-capital component and disrupts the PE buyer-of-last-resort dynamic. The Manufacturing Finance Corporation Act establishes Mannie Mac as a wholly-owned federal corporation guaranteeing manufacturing loans originated by participating private banks, compressing borrowing costs for mid-market manufacturers from commercial rates of 7 to 10 percent to approximately 5.7 to 6.2 percent, competitive with German KfW SME lending and closing 65 to 80 percent of the gap to the 1.5-to-3.5 percent rates Chinese state banks extend to favored sectors. The intervention closes the duration mismatch that prevents U.S. commercial </w:t>
        <w:lastRenderedPageBreak/>
        <w:t>banks from holding the long-tenor fixed-rate loans manufacturing equipment requires, addresses the missing-middle size band where roughly 38,000 to 45,000 mid-market manufacturers actually live, and brings the cost of capital into the range where reshoring economics work. By creating financeable acquisition leverage for operating buyers, Mannie Mac also breaks the PE monopoly on the mid-market manufacturer buyer pool: an operating acquirer who can borrow at 5.7 to 6.2 percent against a manufacturing acquisition target competes credibly against a PE fund using blended senior-and-mezzanine financing at 7 to 10 percent.</w:t>
      </w:r>
    </w:p>
    <w:p w14:paraId="3496BCCE" w14:textId="77777777" w:rsidR="00D54997" w:rsidRDefault="00000000">
      <w:pPr>
        <w:pStyle w:val="BodyText"/>
      </w:pPr>
      <w:r>
        <w:rPr>
          <w:b/>
          <w:bCs/>
        </w:rPr>
        <w:t>Succession and equity-formation intervention</w:t>
      </w:r>
      <w:r>
        <w:t xml:space="preserve"> addresses Channel Four's structural friction against manufacturing equity formation and directly answers the PE-extraction dynamic that currently dominates manufacturer succession. The Manufacturing Entrepreneurs Rewards Act (MERA) creates a §1202A analog targeted at manufacturing equity that operates outside the asset-test and entity-form constraints that exclude most manufacturers from §1202 in practice. The provision rewards manufacturing-specific equity holding periods, parallels the QSBS framework, and gives manufacturing the equity-formation mechanics that software has enjoyed since §1202's enactment in 1993. Combined with Mannie Mac's acquisition financing on the buyer side, MERA changes the economics of manufacturer succession transactions: a family-business seller can now obtain after-tax proceeds competitive with a PE exit while selling to an operating buyer financed at competitive rates, where previously the only competitive exit path ran through PE.</w:t>
      </w:r>
    </w:p>
    <w:p w14:paraId="15D60A4C" w14:textId="77777777" w:rsidR="00D54997" w:rsidRDefault="00000000">
      <w:pPr>
        <w:pStyle w:val="BodyText"/>
      </w:pPr>
      <w:r>
        <w:rPr>
          <w:b/>
          <w:bCs/>
        </w:rPr>
        <w:t>Complementary policy: the energy and raw materials channel.</w:t>
      </w:r>
      <w:r>
        <w:t xml:space="preserve"> The legislative package addresses the income statement, the balance sheet, and the succession economics of U.S. manufacturing, but it does not address two structural cost channels that affect the global cost gap directly. The first is energy. The </w:t>
      </w:r>
      <w:hyperlink r:id="rId41">
        <w:r>
          <w:rPr>
            <w:rStyle w:val="Hyperlink"/>
          </w:rPr>
          <w:t>Hadrian cost analysis attributes 90 percent of the cost of aluminum to energy</w:t>
        </w:r>
      </w:hyperlink>
      <w:r>
        <w:t xml:space="preserve"> (standard industry estimates put electricity at 30 to 40 percent of primary smelting cost; the directional point, that energy is the dominant controllable input, holds on either figure), and the 10-to-20x raw materials cost gap between China and the U.S. is driven primarily by Chinese energy subsidies and weaker environmental regulation on emissions and waste from smelters, refiners, and processors. Closing the energy cost gap requires sustained U.S. energy policy: accelerated nuclear buildout (including the small modular reactor designs under development), geothermal expansion, transmission infrastructure modernization, permitting reform that reduces the time and cost to bring new generation online, and a regulatory regime that prices industrial electricity competitively with the rates Chinese state-owned enterprises receive. The legislative package is necessary but not sufficient for cost-competitive manufacturing in energy-intensive sectors (primary metals, basic chemicals, glass, paper, cement, ammonia, hydrogen, semiconductors); the energy policy track is the complement. Both must advance in parallel for the structural diagnosis to be answered.</w:t>
      </w:r>
    </w:p>
    <w:p w14:paraId="4F55C8D2" w14:textId="77777777" w:rsidR="00D54997" w:rsidRDefault="00000000">
      <w:pPr>
        <w:pStyle w:val="BodyText"/>
      </w:pPr>
      <w:r>
        <w:rPr>
          <w:b/>
          <w:bCs/>
        </w:rPr>
        <w:t>Complementary policy: surgical tariffs against direct subsidy.</w:t>
      </w:r>
      <w:r>
        <w:t xml:space="preserve"> The second unaddressed structural cost channel is direct foreign subsidy. Chinese national-champion exporters receive </w:t>
      </w:r>
      <w:hyperlink r:id="rId42">
        <w:r>
          <w:rPr>
            <w:rStyle w:val="Hyperlink"/>
          </w:rPr>
          <w:t>30 to 40 percent export rebates</w:t>
        </w:r>
      </w:hyperlink>
      <w:r>
        <w:t xml:space="preserve"> that flow directly into the prices paid by American buyers. Tariffs in the 30 to 40 percent range on those specific categories, calibrated to the rebate rate by product code, would precisely offset the subsidy without affecting categories that compete fairly. This is a more surgical use of tariffs than the broad-based approaches Section III evaluated, and operates on a different principle: legitimate trade should not require U.S. supply chains to absorb foreign government subsidies into their cost </w:t>
        <w:lastRenderedPageBreak/>
        <w:t>structures. Combined with the MISA Domestic Value Added credit, this approach makes the post-tariff price of subsidized Chinese imports roughly equal to the after-credit price of U.S. production, creating a level playing field without eliminating trade in unsubsidized categories. The surgical-tariff complement and the legislative package work together: tariffs neutralize the direct subsidy, MISA provides the structural credit that addresses the EVA spread differential, and Mannie Mac provides the cost-of-capital differential that closes the residual gap.</w:t>
      </w:r>
    </w:p>
    <w:p w14:paraId="2905F782" w14:textId="77777777" w:rsidR="00D54997" w:rsidRDefault="00000000">
      <w:pPr>
        <w:pStyle w:val="BodyText"/>
      </w:pPr>
      <w:r>
        <w:rPr>
          <w:b/>
          <w:bCs/>
        </w:rPr>
        <w:t>Manufacturing workforce: the automation-MERA synthesis.</w:t>
      </w:r>
      <w:r>
        <w:t xml:space="preserve"> The talent compensation differential in Channel Four is often presented as an immutable fact: software pays 2 to 4 times what manufacturing pays, and STEM talent allocates accordingly. The Hadrian case demonstrates how this changes. Hadrian's automated factory model permits worker training in </w:t>
      </w:r>
      <w:hyperlink r:id="rId43">
        <w:r>
          <w:rPr>
            <w:rStyle w:val="Hyperlink"/>
          </w:rPr>
          <w:t>30 to 40 days against the multi-year traditional machinist apprenticeship</w:t>
        </w:r>
      </w:hyperlink>
      <w:r>
        <w:t>. Compressed training time changes the per-unit-of-skill economics of the manufacturing workforce. Combined with MERA's equity formation mechanics, a U.S. manufacturer running an automated factory can offer compensation structures competitive with software employers: cash compensation plus QSBS-equivalent equity participation, in a sector with shorter training cycles and clearer career progression than the traditional manufacturing path. Closing the talent flow asymmetry takes both: automation compresses the training economics and MERA supplies the equity mechanics.</w:t>
      </w:r>
    </w:p>
    <w:p w14:paraId="64F4FA2F" w14:textId="77777777" w:rsidR="00D54997" w:rsidRDefault="00000000">
      <w:pPr>
        <w:pStyle w:val="BodyText"/>
      </w:pPr>
      <w:r>
        <w:t>None of these interventions removes the structural advantages of software. Each gives manufacturing access to economic mechanics comparable to those software has accessed through facially neutral provisions for thirty years. A manufacturing sector with software-competitive returns on invested capital, KfW-competitive cost of debt, and QSBS-equivalent equity formation mechanics is a sector that growth capital can underwrite and operating buyers can compete for.</w:t>
      </w:r>
    </w:p>
    <w:p w14:paraId="252ED39D" w14:textId="77777777" w:rsidR="00D54997" w:rsidRDefault="00000000">
      <w:pPr>
        <w:pStyle w:val="BodyText"/>
      </w:pPr>
      <w:r>
        <w:t>OBBBA's depreciation reform was a necessary first step. The persistence of the capital and talent flow asymmetry through the most aggressive federal capital-allowance reform in modern U.S. history is the strongest available evidence that further structural intervention is necessary.</w:t>
      </w:r>
    </w:p>
    <w:p w14:paraId="1078EF27" w14:textId="77777777" w:rsidR="00D54997" w:rsidRDefault="00000000">
      <w:pPr>
        <w:pStyle w:val="BodyText"/>
      </w:pPr>
      <w:r>
        <w:rPr>
          <w:i/>
          <w:iCs/>
        </w:rPr>
        <w:t xml:space="preserve">This is a research note from </w:t>
      </w:r>
      <w:r>
        <w:rPr>
          <w:b/>
          <w:bCs/>
          <w:i/>
          <w:iCs/>
        </w:rPr>
        <w:t>Mark Rosenblatt and Claude</w:t>
      </w:r>
      <w:r>
        <w:rPr>
          <w:i/>
          <w:iCs/>
        </w:rPr>
        <w:t xml:space="preserve"> on the structural economics underlying the Rebuilding American Manufacturing Package. The companion essay is "Rebuilding the American Offer," forthcoming in American Affairs.</w:t>
      </w:r>
      <w:r>
        <w:rPr>
          <w:i/>
          <w:iCs/>
        </w:rPr>
        <w:t xml:space="preserve"> The shorter version is available at War on the Rocks, </w:t>
      </w:r>
      <w:hyperlink r:id="rId53" w:history="1">
        <w:r>
          <w:rPr>
            <w:rStyle w:val="Hyperlink"/>
            <w:i/>
            <w:iCs/>
          </w:rPr>
          <w:t>“Rebuilding American Manufacturing: A Keystone for Economic Statecraft.”</w:t>
        </w:r>
      </w:hyperlink>
      <w:bookmarkEnd w:id="0"/>
      <w:bookmarkEnd w:id="1"/>
      <w:bookmarkEnd w:id="14"/>
    </w:p>
    <w:sectPr w:rsidR="00D54997">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16342" w14:textId="77777777" w:rsidR="0005017D" w:rsidRDefault="0005017D">
      <w:pPr>
        <w:spacing w:after="0"/>
      </w:pPr>
      <w:r>
        <w:separator/>
      </w:r>
    </w:p>
  </w:endnote>
  <w:endnote w:type="continuationSeparator" w:id="0">
    <w:p w14:paraId="4289697B" w14:textId="77777777" w:rsidR="0005017D" w:rsidRDefault="000501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D0305" w14:textId="77777777" w:rsidR="00C636C0" w:rsidRDefault="00C636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10CA" w14:textId="77777777" w:rsidR="00C636C0" w:rsidRDefault="00C636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5358" w14:textId="77777777" w:rsidR="00C636C0" w:rsidRDefault="00C63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72FD5" w14:textId="77777777" w:rsidR="0005017D" w:rsidRDefault="0005017D">
      <w:r>
        <w:separator/>
      </w:r>
    </w:p>
  </w:footnote>
  <w:footnote w:type="continuationSeparator" w:id="0">
    <w:p w14:paraId="2CFB8BE7" w14:textId="77777777" w:rsidR="0005017D" w:rsidRDefault="0005017D">
      <w:r>
        <w:continuationSeparator/>
      </w:r>
    </w:p>
  </w:footnote>
  <w:footnote w:id="1">
    <w:p w14:paraId="4B48042F" w14:textId="77777777" w:rsidR="00D54997" w:rsidRDefault="00000000">
      <w:pPr>
        <w:pStyle w:val="FootnoteText"/>
      </w:pPr>
      <w:r>
        <w:rPr>
          <w:rStyle w:val="FootnoteReference"/>
        </w:rPr>
        <w:footnoteRef/>
      </w:r>
      <w:r>
        <w:t xml:space="preserve"> Effective property tax rates on industrial property average approximately 1.1 percent nationally, with material state variation: Texas at approximately 1.8 percent, California at approximately 0.7 percent, New Hampshire at approximately 2.0 percent on industrial assessments. Applying the national average rate to typical asset bases produces approximately $0.4 million in annual property tax per $1 billion of software revenue and approximately $6.6 million per $1 billion of manufacturing revenue, a ratio of approximately 15 to 17 times depending on state. Manufacturers in inventory-taxing states pay between 1 and 2 percent annually on inventory carrying values. See Lincoln Institute of Land Policy and Minnesota Center for Fiscal Excellence, </w:t>
      </w:r>
      <w:r>
        <w:rPr>
          <w:i/>
          <w:iCs/>
        </w:rPr>
        <w:t>50-State Property Tax Comparison Study</w:t>
      </w:r>
      <w:r>
        <w:t xml:space="preserve">, and Tax Foundation, </w:t>
      </w:r>
      <w:r>
        <w:rPr>
          <w:i/>
          <w:iCs/>
        </w:rPr>
        <w:t>Location Matters: Effective Tax Rates on Manufacturers by State</w:t>
      </w:r>
      <w:r>
        <w:t>.</w:t>
      </w:r>
    </w:p>
  </w:footnote>
  <w:footnote w:id="2">
    <w:p w14:paraId="24D55C10" w14:textId="77777777" w:rsidR="00D54997" w:rsidRDefault="00000000">
      <w:pPr>
        <w:pStyle w:val="FootnoteText"/>
      </w:pPr>
      <w:r>
        <w:rPr>
          <w:rStyle w:val="FootnoteReference"/>
        </w:rPr>
        <w:footnoteRef/>
      </w:r>
      <w:r>
        <w:t xml:space="preserve"> U.S. multinationals with intangible-IP-heavy operations can shift earnings to low-tax jurisdictions by transferring IP ownership offshore (historically to Ireland, Bermuda, the Netherlands, and Singapore) and licensing back to U.S. operating entities. The "Double Irish Dutch Sandwich" structure, popularized in the 2000s and 2010s, allowed major U.S. technology firms to book substantial non-U.S. profits in jurisdictions with effective tax rates between 0 and 12.5 percent; Google alone reportedly shifted approximately $75 billion to Bermuda in 2019. Manufacturers cannot replicate the structure because physical operations cannot be relocated to follow tax-favored IP ownership; relocating a factory involves capex, environmental permits, workforce redeployment, and supply chain reconfiguration that intangible IP does not. The OECD Base Erosion and Profit Shifting framework (2015), Ireland's phaseout of Double Irish entities (2015 to 2020), TCJA's GILTI and FDII provisions (2017), and the OECD Pillar Two minimum tax (2024 onward) have progressively compressed but not eliminated the differential. Effective tax rates remain materially lower for IP-heavy than for physical-asset-heavy U.S. multinationals. See Penn Wharton Budget Model, "The End of the Double Irish: Implications for US Multinationals and Global Tax Competition" (October 2024) and Federal Reserve Bank of St. Louis, "Transfer Pricing of Intangible Assets: Evidence from Patent Data" (August 2022).</w:t>
      </w:r>
    </w:p>
  </w:footnote>
  <w:footnote w:id="3">
    <w:p w14:paraId="28399540" w14:textId="77777777" w:rsidR="00D54997" w:rsidRDefault="00000000">
      <w:pPr>
        <w:pStyle w:val="FootnoteText"/>
      </w:pPr>
      <w:r>
        <w:rPr>
          <w:rStyle w:val="FootnoteReference"/>
        </w:rPr>
        <w:footnoteRef/>
      </w:r>
      <w:r>
        <w:t xml:space="preserve"> Identical computation to note 1; see note 1 for rates, asset-base assumptions, and sources.</w:t>
      </w:r>
      <w:r>
        <w:rPr>
          <w:i/>
          <w:iCs/>
        </w:rPr>
        <w:t/>
      </w:r>
      <w:r>
        <w:t xml:space="preserve"/>
      </w:r>
      <w:r>
        <w:rPr>
          <w:i/>
          <w:iCs/>
        </w:rPr>
        <w:t/>
      </w:r>
      <w: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B381D" w14:textId="77777777" w:rsidR="00C636C0" w:rsidRDefault="00C636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4A21" w14:textId="09A4598A" w:rsidR="00C636C0" w:rsidRPr="00C636C0" w:rsidRDefault="00C636C0">
    <w:pPr>
      <w:pStyle w:val="Header"/>
      <w:rPr>
        <w:color w:val="EE0000"/>
      </w:rPr>
    </w:pPr>
    <w:r w:rsidRPr="00C636C0">
      <w:rPr>
        <w:color w:val="EE0000"/>
      </w:rPr>
      <w:t>DRAFT June 10,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D745" w14:textId="77777777" w:rsidR="00C636C0" w:rsidRDefault="00C636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9936252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01BE2DD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1658613370">
    <w:abstractNumId w:val="0"/>
  </w:num>
  <w:num w:numId="2" w16cid:durableId="1019427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997"/>
    <w:rsid w:val="0005017D"/>
    <w:rsid w:val="001D390F"/>
    <w:rsid w:val="0035454E"/>
    <w:rsid w:val="00670460"/>
    <w:rsid w:val="00C636C0"/>
    <w:rsid w:val="00D54997"/>
  </w:rsids>
  <m:mathPr>
    <m:mathFont m:val="Cambria Math"/>
    <m:brkBin m:val="before"/>
    <m:brkBinSub m:val="--"/>
    <m:smallFrac m:val="0"/>
    <m:dispDef/>
    <m:lMargin m:val="0"/>
    <m:rMargin m:val="0"/>
    <m:defJc m:val="centerGroup"/>
    <m:wrapRight/>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1EB613D"/>
  <w15:docId w15:val="{C6816914-18A9-ED41-A0BA-74745AEB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C636C0"/>
    <w:pPr>
      <w:tabs>
        <w:tab w:val="center" w:pos="4680"/>
        <w:tab w:val="right" w:pos="9360"/>
      </w:tabs>
      <w:spacing w:after="0"/>
    </w:pPr>
  </w:style>
  <w:style w:type="character" w:customStyle="1" w:styleId="HeaderChar">
    <w:name w:val="Header Char"/>
    <w:basedOn w:val="DefaultParagraphFont"/>
    <w:link w:val="Header"/>
    <w:rsid w:val="00C636C0"/>
  </w:style>
  <w:style w:type="paragraph" w:styleId="Footer">
    <w:name w:val="footer"/>
    <w:basedOn w:val="Normal"/>
    <w:link w:val="FooterChar"/>
    <w:rsid w:val="00C636C0"/>
    <w:pPr>
      <w:tabs>
        <w:tab w:val="center" w:pos="4680"/>
        <w:tab w:val="right" w:pos="9360"/>
      </w:tabs>
      <w:spacing w:after="0"/>
    </w:pPr>
  </w:style>
  <w:style w:type="character" w:customStyle="1" w:styleId="FooterChar">
    <w:name w:val="Footer Char"/>
    <w:basedOn w:val="DefaultParagraphFont"/>
    <w:link w:val="Footer"/>
    <w:rsid w:val="00C63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Id="rId13" Type="http://schemas.openxmlformats.org/officeDocument/2006/relationships/hyperlink" Target="https://www.crowe.com/insights/how-to-apply-asc-985-20-asc-350-40-software-costs" TargetMode="External"/><Relationship Id="rId18" Type="http://schemas.openxmlformats.org/officeDocument/2006/relationships/hyperlink" Target="https://taxfoundation.org/blog/qualified-small-business-stock-qsbs-exclusion/" TargetMode="External"/><Relationship Id="rId26" Type="http://schemas.openxmlformats.org/officeDocument/2006/relationships/hyperlink" Target="https://www.semafor.com/article/03/16/2026/tech-ceos-need-to-leave-their-god-complex-behind-says-a16z-partner-david-ulevitch" TargetMode="External"/><Relationship Id="rId39" Type="http://schemas.openxmlformats.org/officeDocument/2006/relationships/hyperlink" Target="https://www.wsj.com/opinion/u-s-defense-needs-more-competition-not-more-money-4e6ea5b4" TargetMode="External"/><Relationship Id="rId21" Type="http://schemas.openxmlformats.org/officeDocument/2006/relationships/hyperlink" Target="https://www.williamsmullen.com/insights/news/legal-news/implications-one-big-beautiful-bill-act-tax-deductions-businesses" TargetMode="External"/><Relationship Id="rId34" Type="http://schemas.openxmlformats.org/officeDocument/2006/relationships/hyperlink" Target="https://www.a16z.news/p/the-mindset-shift-we-need-to-rebuild" TargetMode="External"/><Relationship Id="rId42" Type="http://schemas.openxmlformats.org/officeDocument/2006/relationships/hyperlink" Target="https://www.youtube.com/watch?v=HySFsVg8BWE"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https://www.youtube.com/watch?v=HySFsVg8BWE" TargetMode="External"/><Relationship Id="rId2" Type="http://schemas.openxmlformats.org/officeDocument/2006/relationships/styles" Target="styles.xml"/><Relationship Id="rId16" Type="http://schemas.openxmlformats.org/officeDocument/2006/relationships/hyperlink" Target="https://itep.org/qsbs-trump-tax-law-threatens-state-revenues-enriches-wealthy/" TargetMode="External"/><Relationship Id="rId29" Type="http://schemas.openxmlformats.org/officeDocument/2006/relationships/hyperlink" Target="https://www.law.cornell.edu/uscode/text/26/422" TargetMode="External"/><Relationship Id="rId11" Type="http://schemas.openxmlformats.org/officeDocument/2006/relationships/hyperlink" Target="https://rebuildingmanufacturing.com/additional-documents/capital-flight-eva" TargetMode="External"/><Relationship Id="rId24" Type="http://schemas.openxmlformats.org/officeDocument/2006/relationships/hyperlink" Target="https://rebuildingmanufacturing.com/additional-documents/capital-flight-eva" TargetMode="External"/><Relationship Id="rId32" Type="http://schemas.openxmlformats.org/officeDocument/2006/relationships/hyperlink" Target="https://www.law.cornell.edu/uscode/text/26/263A" TargetMode="External"/><Relationship Id="rId37" Type="http://schemas.openxmlformats.org/officeDocument/2006/relationships/hyperlink" Target="https://www.reaganfoundation.org/cms/assets/1773175563-final-nsibreportcard-2026-web.pdf" TargetMode="External"/><Relationship Id="rId40" Type="http://schemas.openxmlformats.org/officeDocument/2006/relationships/hyperlink" Target="https://rebuildingmanufacturing.com/additional-documents/capital-flight-eva"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law.cornell.edu/uscode/text/26/1202" TargetMode="External"/><Relationship Id="rId23" Type="http://schemas.openxmlformats.org/officeDocument/2006/relationships/hyperlink" Target="https://pages.stern.nyu.edu/~adamodar/New_Home_Page/datafile/EVA.html" TargetMode="External"/><Relationship Id="rId28" Type="http://schemas.openxmlformats.org/officeDocument/2006/relationships/hyperlink" Target="https://rebuildingmanufacturing.com/additional-documents/capital-flight-eva" TargetMode="External"/><Relationship Id="rId36" Type="http://schemas.openxmlformats.org/officeDocument/2006/relationships/hyperlink" Target="https://breakingdefense.com/2024/08/how-startup-hadrian-plans-to-take-over-the-defense-manufacturing-world/" TargetMode="External"/><Relationship Id="rId49" Type="http://schemas.openxmlformats.org/officeDocument/2006/relationships/footer" Target="footer3.xml"/><Relationship Id="rId10" Type="http://schemas.openxmlformats.org/officeDocument/2006/relationships/hyperlink" Target="https://rhg.com/research/chinas-next-generation-industrial-policy/" TargetMode="External"/><Relationship Id="rId19" Type="http://schemas.openxmlformats.org/officeDocument/2006/relationships/hyperlink" Target="https://rebuildingmanufacturing.com/additional-documents/capital-flight-eva" TargetMode="External"/><Relationship Id="rId31" Type="http://schemas.openxmlformats.org/officeDocument/2006/relationships/hyperlink" Target="https://www.law.cornell.edu/uscode/text/26/83"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16z.com/american-dynamism/" TargetMode="External"/><Relationship Id="rId14" Type="http://schemas.openxmlformats.org/officeDocument/2006/relationships/hyperlink" Target="https://www.law.cornell.edu/uscode/text/26/263A" TargetMode="External"/><Relationship Id="rId22" Type="http://schemas.openxmlformats.org/officeDocument/2006/relationships/hyperlink" Target="https://pages.stern.nyu.edu/~adamodar/New_Home_Page/datafile/wacc.html" TargetMode="External"/><Relationship Id="rId27" Type="http://schemas.openxmlformats.org/officeDocument/2006/relationships/hyperlink" Target="https://investingnews.com/apollo-and-8vc-partner-to-accelerate-the-next-wave-of-american-industrial-innovation/" TargetMode="External"/><Relationship Id="rId30" Type="http://schemas.openxmlformats.org/officeDocument/2006/relationships/hyperlink" Target="https://www.law.cornell.edu/uscode/text/26/1202" TargetMode="External"/><Relationship Id="rId35" Type="http://schemas.openxmlformats.org/officeDocument/2006/relationships/hyperlink" Target="https://defensescoop.com/2026/03/14/anduril-20-billion-dollar-army-contract/" TargetMode="External"/><Relationship Id="rId43" Type="http://schemas.openxmlformats.org/officeDocument/2006/relationships/hyperlink" Target="https://www.youtube.com/watch?v=HySFsVg8BWE" TargetMode="External"/><Relationship Id="rId48" Type="http://schemas.openxmlformats.org/officeDocument/2006/relationships/header" Target="header3.xml"/><Relationship Id="rId8" Type="http://schemas.openxmlformats.org/officeDocument/2006/relationships/hyperlink" Target="https://www.a16z.news/p/the-mindset-shift-we-need-to-rebuild"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law.cornell.edu/uscode/text/26/168" TargetMode="External"/><Relationship Id="rId17" Type="http://schemas.openxmlformats.org/officeDocument/2006/relationships/hyperlink" Target="https://home.treasury.gov/system/files/131/WP-127.pdf" TargetMode="External"/><Relationship Id="rId25" Type="http://schemas.openxmlformats.org/officeDocument/2006/relationships/hyperlink" Target="https://a16z.com/its-time-to-build/" TargetMode="External"/><Relationship Id="rId33" Type="http://schemas.openxmlformats.org/officeDocument/2006/relationships/hyperlink" Target="https://www.semafor.com/article/03/16/2026/tech-ceos-need-to-leave-their-god-complex-behind-says-a16z-partner-david-ulevitch" TargetMode="External"/><Relationship Id="rId38" Type="http://schemas.openxmlformats.org/officeDocument/2006/relationships/hyperlink" Target="https://media.defense.gov/2022/feb/15/2002939087/-1/-1/1/state-of-competition-within-the-defense-industrial-base.pdf" TargetMode="External"/><Relationship Id="rId46" Type="http://schemas.openxmlformats.org/officeDocument/2006/relationships/footer" Target="footer1.xml"/><Relationship Id="rId20" Type="http://schemas.openxmlformats.org/officeDocument/2006/relationships/hyperlink" Target="https://taxfoundation.org/research/all/federal/one-big-beautiful-bill-act-tax-changes/" TargetMode="External"/><Relationship Id="rId41" Type="http://schemas.openxmlformats.org/officeDocument/2006/relationships/hyperlink" Target="https://www.youtube.com/watch?v=HySFsVg8BWE" TargetMode="External"/><Relationship Id="rId1" Type="http://schemas.openxmlformats.org/officeDocument/2006/relationships/numbering" Target="numbering.xml"/><Relationship Id="rId6" Type="http://schemas.openxmlformats.org/officeDocument/2006/relationships/endnotes" Target="endnotes.xml"/><Relationship Id="rId52" Type="http://schemas.openxmlformats.org/officeDocument/2006/relationships/hyperlink" Target="https://www.teamblind.com/post/lets-talk-about-anduril-jr1nbxkz" TargetMode="External"/><Relationship Id="rId53" Type="http://schemas.openxmlformats.org/officeDocument/2006/relationships/hyperlink" Target="https://warontherocks.com/rebuilding-american-manufacturing-a-keystone-for-economic-statecra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8201</Words>
  <Characters>50684</Characters>
  <Application>Microsoft Office Word</Application>
  <DocSecurity>0</DocSecurity>
  <Lines>767</Lines>
  <Paragraphs>149</Paragraphs>
  <ScaleCrop>false</ScaleCrop>
  <Company/>
  <LinksUpToDate>false</LinksUpToDate>
  <CharactersWithSpaces>58736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Rosenblatt</dc:creator>
  <cp:keywords/>
  <cp:lastModifiedBy>Mark Rosenblatt</cp:lastModifiedBy>
  <cp:revision>4</cp:revision>
  <dcterms:created xsi:type="dcterms:W3CDTF">2026-06-04T19:13:00Z</dcterms:created>
  <dcterms:modified xsi:type="dcterms:W3CDTF">2026-06-04T19:16:00Z</dcterms:modified>
</cp:coreProperties>
</file>